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23" w:rsidRPr="00A63BB8" w:rsidRDefault="00BC2223" w:rsidP="00BC2223">
      <w:pPr>
        <w:spacing w:after="0" w:line="240" w:lineRule="auto"/>
        <w:jc w:val="right"/>
        <w:rPr>
          <w:rFonts w:ascii="Arial" w:eastAsia="Times New Roman" w:hAnsi="Arial" w:cs="Arial"/>
          <w:b/>
          <w:noProof/>
          <w:sz w:val="24"/>
          <w:szCs w:val="24"/>
          <w:lang w:eastAsia="en-GB"/>
        </w:rPr>
      </w:pPr>
    </w:p>
    <w:p w:rsidR="00515346" w:rsidRPr="00405807" w:rsidRDefault="007A4DA0" w:rsidP="00BC2223">
      <w:pPr>
        <w:spacing w:after="0" w:line="240" w:lineRule="auto"/>
        <w:jc w:val="center"/>
        <w:rPr>
          <w:rFonts w:eastAsia="Times New Roman" w:cs="Arial"/>
          <w:b/>
          <w:noProof/>
          <w:sz w:val="28"/>
          <w:szCs w:val="28"/>
          <w:lang w:eastAsia="en-GB"/>
        </w:rPr>
      </w:pPr>
      <w:r w:rsidRPr="00405807">
        <w:rPr>
          <w:rFonts w:eastAsia="Times New Roman" w:cs="Arial"/>
          <w:b/>
          <w:noProof/>
          <w:sz w:val="28"/>
          <w:szCs w:val="28"/>
          <w:lang w:eastAsia="en-GB"/>
        </w:rPr>
        <w:t xml:space="preserve">Adult Victims of </w:t>
      </w:r>
      <w:r w:rsidR="008C205F" w:rsidRPr="00405807">
        <w:rPr>
          <w:rFonts w:eastAsia="Times New Roman" w:cs="Arial"/>
          <w:b/>
          <w:noProof/>
          <w:sz w:val="28"/>
          <w:szCs w:val="28"/>
          <w:lang w:eastAsia="en-GB"/>
        </w:rPr>
        <w:t xml:space="preserve">Modern Slavery </w:t>
      </w:r>
      <w:r w:rsidR="00515346" w:rsidRPr="00405807">
        <w:rPr>
          <w:rFonts w:eastAsia="Times New Roman" w:cs="Arial"/>
          <w:b/>
          <w:noProof/>
          <w:sz w:val="28"/>
          <w:szCs w:val="28"/>
          <w:lang w:eastAsia="en-GB"/>
        </w:rPr>
        <w:t xml:space="preserve">(AVMS) </w:t>
      </w:r>
    </w:p>
    <w:p w:rsidR="007A4DA0" w:rsidRPr="00405807" w:rsidRDefault="00BC2223" w:rsidP="00BC2223">
      <w:pPr>
        <w:spacing w:after="0" w:line="240" w:lineRule="auto"/>
        <w:jc w:val="center"/>
        <w:rPr>
          <w:rFonts w:eastAsia="Times New Roman" w:cs="Arial"/>
          <w:b/>
          <w:sz w:val="28"/>
          <w:szCs w:val="28"/>
          <w:lang w:eastAsia="en-GB"/>
        </w:rPr>
      </w:pPr>
      <w:r w:rsidRPr="00405807">
        <w:rPr>
          <w:rFonts w:eastAsia="Times New Roman" w:cs="Arial"/>
          <w:b/>
          <w:noProof/>
          <w:sz w:val="28"/>
          <w:szCs w:val="28"/>
          <w:lang w:eastAsia="en-GB"/>
        </w:rPr>
        <w:t xml:space="preserve">Care </w:t>
      </w:r>
      <w:r w:rsidR="007A4DA0" w:rsidRPr="00405807">
        <w:rPr>
          <w:rFonts w:eastAsia="Times New Roman" w:cs="Arial"/>
          <w:b/>
          <w:noProof/>
          <w:sz w:val="28"/>
          <w:szCs w:val="28"/>
          <w:lang w:eastAsia="en-GB"/>
        </w:rPr>
        <w:t xml:space="preserve">and </w:t>
      </w:r>
      <w:r w:rsidRPr="00405807">
        <w:rPr>
          <w:rFonts w:eastAsia="Times New Roman" w:cs="Arial"/>
          <w:b/>
          <w:noProof/>
          <w:sz w:val="28"/>
          <w:szCs w:val="28"/>
          <w:lang w:eastAsia="en-GB"/>
        </w:rPr>
        <w:t>Coo</w:t>
      </w:r>
      <w:r w:rsidR="00F7435F">
        <w:rPr>
          <w:rFonts w:eastAsia="Times New Roman" w:cs="Arial"/>
          <w:b/>
          <w:noProof/>
          <w:sz w:val="28"/>
          <w:szCs w:val="28"/>
          <w:lang w:eastAsia="en-GB"/>
        </w:rPr>
        <w:t>r</w:t>
      </w:r>
      <w:r w:rsidRPr="00405807">
        <w:rPr>
          <w:rFonts w:eastAsia="Times New Roman" w:cs="Arial"/>
          <w:b/>
          <w:noProof/>
          <w:sz w:val="28"/>
          <w:szCs w:val="28"/>
          <w:lang w:eastAsia="en-GB"/>
        </w:rPr>
        <w:t>dination</w:t>
      </w:r>
      <w:r w:rsidR="00515346" w:rsidRPr="00405807">
        <w:rPr>
          <w:rFonts w:eastAsia="Times New Roman" w:cs="Arial"/>
          <w:b/>
          <w:noProof/>
          <w:sz w:val="28"/>
          <w:szCs w:val="28"/>
          <w:lang w:eastAsia="en-GB"/>
        </w:rPr>
        <w:t xml:space="preserve"> </w:t>
      </w:r>
      <w:r w:rsidRPr="00405807">
        <w:rPr>
          <w:rFonts w:eastAsia="Times New Roman" w:cs="Arial"/>
          <w:b/>
          <w:noProof/>
          <w:sz w:val="28"/>
          <w:szCs w:val="28"/>
          <w:lang w:eastAsia="en-GB"/>
        </w:rPr>
        <w:t>Service</w:t>
      </w:r>
      <w:r w:rsidR="007A4DA0" w:rsidRPr="00405807">
        <w:rPr>
          <w:rFonts w:eastAsia="Times New Roman" w:cs="Arial"/>
          <w:b/>
          <w:noProof/>
          <w:sz w:val="28"/>
          <w:szCs w:val="28"/>
          <w:lang w:eastAsia="en-GB"/>
        </w:rPr>
        <w:t>s</w:t>
      </w:r>
      <w:r w:rsidR="00D318E5" w:rsidRPr="00405807">
        <w:rPr>
          <w:rFonts w:eastAsia="Times New Roman" w:cs="Arial"/>
          <w:b/>
          <w:noProof/>
          <w:sz w:val="28"/>
          <w:szCs w:val="28"/>
          <w:lang w:eastAsia="en-GB"/>
        </w:rPr>
        <w:t xml:space="preserve"> Contract </w:t>
      </w:r>
      <w:r w:rsidR="00A80AA3">
        <w:rPr>
          <w:rFonts w:eastAsia="Times New Roman" w:cs="Arial"/>
          <w:b/>
          <w:noProof/>
          <w:sz w:val="28"/>
          <w:szCs w:val="28"/>
          <w:lang w:eastAsia="en-GB"/>
        </w:rPr>
        <w:t xml:space="preserve"> - </w:t>
      </w:r>
      <w:r w:rsidR="007A4DA0" w:rsidRPr="00405807">
        <w:rPr>
          <w:rFonts w:eastAsia="Times New Roman" w:cs="Arial"/>
          <w:b/>
          <w:sz w:val="28"/>
          <w:szCs w:val="28"/>
          <w:lang w:eastAsia="en-GB"/>
        </w:rPr>
        <w:t xml:space="preserve">Summary </w:t>
      </w:r>
      <w:r w:rsidR="00D318E5" w:rsidRPr="00405807">
        <w:rPr>
          <w:rFonts w:eastAsia="Times New Roman" w:cs="Arial"/>
          <w:b/>
          <w:sz w:val="28"/>
          <w:szCs w:val="28"/>
          <w:lang w:eastAsia="en-GB"/>
        </w:rPr>
        <w:t xml:space="preserve">Report from April 2015 </w:t>
      </w:r>
    </w:p>
    <w:p w:rsidR="00BC2223" w:rsidRPr="00405807" w:rsidRDefault="007A4DA0" w:rsidP="00D64D7D">
      <w:pPr>
        <w:spacing w:after="0" w:line="240" w:lineRule="auto"/>
        <w:ind w:left="2160" w:firstLine="720"/>
        <w:rPr>
          <w:rFonts w:eastAsia="Times New Roman" w:cs="Arial"/>
          <w:b/>
          <w:sz w:val="24"/>
          <w:szCs w:val="24"/>
          <w:lang w:eastAsia="en-GB"/>
        </w:rPr>
      </w:pPr>
      <w:r w:rsidRPr="00405807">
        <w:rPr>
          <w:rFonts w:eastAsia="Times New Roman" w:cs="Arial"/>
          <w:b/>
          <w:sz w:val="24"/>
          <w:szCs w:val="24"/>
          <w:lang w:eastAsia="en-GB"/>
        </w:rPr>
        <w:t xml:space="preserve">Period Ending </w:t>
      </w:r>
      <w:r w:rsidR="004F5A0C">
        <w:rPr>
          <w:rFonts w:eastAsia="Times New Roman" w:cs="Arial"/>
          <w:b/>
          <w:sz w:val="24"/>
          <w:szCs w:val="24"/>
          <w:lang w:eastAsia="en-GB"/>
        </w:rPr>
        <w:t>–</w:t>
      </w:r>
      <w:r w:rsidRPr="00405807">
        <w:rPr>
          <w:rFonts w:eastAsia="Times New Roman" w:cs="Arial"/>
          <w:b/>
          <w:sz w:val="24"/>
          <w:szCs w:val="24"/>
          <w:lang w:eastAsia="en-GB"/>
        </w:rPr>
        <w:t xml:space="preserve"> </w:t>
      </w:r>
      <w:r w:rsidR="00F655DB">
        <w:rPr>
          <w:rFonts w:eastAsia="Times New Roman" w:cs="Arial"/>
          <w:b/>
          <w:sz w:val="24"/>
          <w:szCs w:val="24"/>
          <w:lang w:eastAsia="en-GB"/>
        </w:rPr>
        <w:t>November</w:t>
      </w:r>
      <w:r w:rsidR="009057F6">
        <w:rPr>
          <w:rFonts w:eastAsia="Times New Roman" w:cs="Arial"/>
          <w:b/>
          <w:sz w:val="24"/>
          <w:szCs w:val="24"/>
          <w:lang w:eastAsia="en-GB"/>
        </w:rPr>
        <w:t xml:space="preserve"> </w:t>
      </w:r>
      <w:r w:rsidR="00C44341">
        <w:rPr>
          <w:rFonts w:eastAsia="Times New Roman" w:cs="Arial"/>
          <w:b/>
          <w:sz w:val="24"/>
          <w:szCs w:val="24"/>
          <w:lang w:eastAsia="en-GB"/>
        </w:rPr>
        <w:t>2018</w:t>
      </w:r>
    </w:p>
    <w:p w:rsidR="00BC2223" w:rsidRPr="00E12159" w:rsidRDefault="00BC2223" w:rsidP="00BC2223">
      <w:pPr>
        <w:spacing w:after="0" w:line="240" w:lineRule="auto"/>
        <w:rPr>
          <w:rFonts w:eastAsia="Times New Roman" w:cs="Arial"/>
          <w:sz w:val="24"/>
          <w:szCs w:val="24"/>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061"/>
        <w:gridCol w:w="36"/>
        <w:gridCol w:w="450"/>
        <w:gridCol w:w="968"/>
        <w:gridCol w:w="1134"/>
        <w:gridCol w:w="445"/>
        <w:gridCol w:w="1114"/>
        <w:gridCol w:w="1418"/>
      </w:tblGrid>
      <w:tr w:rsidR="00515346" w:rsidRPr="00E12159" w:rsidTr="00904E4F">
        <w:trPr>
          <w:trHeight w:val="340"/>
        </w:trPr>
        <w:tc>
          <w:tcPr>
            <w:tcW w:w="10173" w:type="dxa"/>
            <w:gridSpan w:val="9"/>
            <w:shd w:val="clear" w:color="auto" w:fill="F2DBDB" w:themeFill="accent2" w:themeFillTint="33"/>
          </w:tcPr>
          <w:p w:rsidR="00515346" w:rsidRPr="00E12159" w:rsidRDefault="00515346" w:rsidP="00073D1F">
            <w:pPr>
              <w:spacing w:after="0" w:line="240" w:lineRule="auto"/>
              <w:rPr>
                <w:rFonts w:eastAsia="Times New Roman" w:cs="Times New Roman"/>
                <w:b/>
                <w:sz w:val="24"/>
                <w:szCs w:val="24"/>
                <w:lang w:eastAsia="en-GB"/>
              </w:rPr>
            </w:pPr>
            <w:r w:rsidRPr="00E12159">
              <w:rPr>
                <w:rFonts w:eastAsia="Times New Roman" w:cs="Times New Roman"/>
                <w:b/>
                <w:sz w:val="24"/>
                <w:szCs w:val="24"/>
                <w:lang w:eastAsia="en-GB"/>
              </w:rPr>
              <w:t xml:space="preserve">Number of </w:t>
            </w:r>
            <w:r w:rsidR="0047306E" w:rsidRPr="00E12159">
              <w:rPr>
                <w:rFonts w:eastAsia="Times New Roman" w:cs="Times New Roman"/>
                <w:b/>
                <w:sz w:val="24"/>
                <w:szCs w:val="24"/>
                <w:lang w:eastAsia="en-GB"/>
              </w:rPr>
              <w:t>c</w:t>
            </w:r>
            <w:r w:rsidRPr="00E12159">
              <w:rPr>
                <w:rFonts w:eastAsia="Times New Roman" w:cs="Times New Roman"/>
                <w:b/>
                <w:sz w:val="24"/>
                <w:szCs w:val="24"/>
                <w:lang w:eastAsia="en-GB"/>
              </w:rPr>
              <w:t>lients</w:t>
            </w:r>
            <w:r w:rsidR="0047306E" w:rsidRPr="00E12159">
              <w:rPr>
                <w:rFonts w:eastAsia="Times New Roman" w:cs="Times New Roman"/>
                <w:b/>
                <w:sz w:val="24"/>
                <w:szCs w:val="24"/>
                <w:lang w:eastAsia="en-GB"/>
              </w:rPr>
              <w:t xml:space="preserve"> s</w:t>
            </w:r>
            <w:r w:rsidRPr="00E12159">
              <w:rPr>
                <w:rFonts w:eastAsia="Times New Roman" w:cs="Times New Roman"/>
                <w:b/>
                <w:sz w:val="24"/>
                <w:szCs w:val="24"/>
                <w:lang w:eastAsia="en-GB"/>
              </w:rPr>
              <w:t xml:space="preserve">upported </w:t>
            </w:r>
            <w:r w:rsidR="00073D1F">
              <w:rPr>
                <w:rFonts w:eastAsia="Times New Roman" w:cs="Times New Roman"/>
                <w:b/>
                <w:sz w:val="24"/>
                <w:szCs w:val="24"/>
                <w:lang w:eastAsia="en-GB"/>
              </w:rPr>
              <w:t xml:space="preserve"> </w:t>
            </w:r>
            <w:r w:rsidRPr="00E12159">
              <w:rPr>
                <w:rFonts w:eastAsia="Times New Roman" w:cs="Times New Roman"/>
                <w:b/>
                <w:sz w:val="24"/>
                <w:szCs w:val="24"/>
                <w:lang w:eastAsia="en-GB"/>
              </w:rPr>
              <w:t xml:space="preserve"> </w:t>
            </w:r>
            <w:r w:rsidR="00073D1F">
              <w:rPr>
                <w:rFonts w:eastAsia="Times New Roman" w:cs="Times New Roman"/>
                <w:b/>
                <w:sz w:val="24"/>
                <w:szCs w:val="24"/>
                <w:lang w:eastAsia="en-GB"/>
              </w:rPr>
              <w:t>since April 2015</w:t>
            </w:r>
            <w:r w:rsidR="00546014" w:rsidRPr="00E12159">
              <w:rPr>
                <w:rFonts w:eastAsia="Times New Roman" w:cs="Times New Roman"/>
                <w:b/>
                <w:sz w:val="24"/>
                <w:szCs w:val="24"/>
                <w:lang w:eastAsia="en-GB"/>
              </w:rPr>
              <w:t>: Breakdown by Gender</w:t>
            </w:r>
          </w:p>
        </w:tc>
      </w:tr>
      <w:tr w:rsidR="00E12159" w:rsidRPr="00E12159" w:rsidTr="00904E4F">
        <w:trPr>
          <w:trHeight w:val="340"/>
        </w:trPr>
        <w:tc>
          <w:tcPr>
            <w:tcW w:w="2547" w:type="dxa"/>
            <w:shd w:val="clear" w:color="auto" w:fill="auto"/>
          </w:tcPr>
          <w:p w:rsidR="00E12159" w:rsidRPr="00E12159" w:rsidRDefault="00E12159" w:rsidP="00527809">
            <w:pPr>
              <w:spacing w:after="0" w:line="240" w:lineRule="auto"/>
              <w:jc w:val="center"/>
              <w:rPr>
                <w:rFonts w:eastAsia="Times New Roman" w:cs="Times New Roman"/>
                <w:b/>
                <w:sz w:val="24"/>
                <w:szCs w:val="24"/>
                <w:lang w:eastAsia="en-GB"/>
              </w:rPr>
            </w:pPr>
            <w:r w:rsidRPr="00E12159">
              <w:rPr>
                <w:rFonts w:eastAsia="Times New Roman" w:cs="Times New Roman"/>
                <w:b/>
                <w:sz w:val="24"/>
                <w:szCs w:val="24"/>
                <w:lang w:eastAsia="en-GB"/>
              </w:rPr>
              <w:t>Female</w:t>
            </w:r>
          </w:p>
        </w:tc>
        <w:tc>
          <w:tcPr>
            <w:tcW w:w="2547" w:type="dxa"/>
            <w:gridSpan w:val="3"/>
            <w:shd w:val="clear" w:color="auto" w:fill="auto"/>
          </w:tcPr>
          <w:p w:rsidR="00E12159" w:rsidRPr="00E12159" w:rsidRDefault="00E12159" w:rsidP="00527809">
            <w:pPr>
              <w:spacing w:after="0" w:line="240" w:lineRule="auto"/>
              <w:jc w:val="center"/>
              <w:rPr>
                <w:rFonts w:eastAsia="Times New Roman" w:cs="Times New Roman"/>
                <w:b/>
                <w:sz w:val="24"/>
                <w:szCs w:val="24"/>
                <w:lang w:eastAsia="en-GB"/>
              </w:rPr>
            </w:pPr>
            <w:r w:rsidRPr="00E12159">
              <w:rPr>
                <w:rFonts w:eastAsia="Times New Roman" w:cs="Times New Roman"/>
                <w:b/>
                <w:sz w:val="24"/>
                <w:szCs w:val="24"/>
                <w:lang w:eastAsia="en-GB"/>
              </w:rPr>
              <w:t>Male</w:t>
            </w:r>
          </w:p>
        </w:tc>
        <w:tc>
          <w:tcPr>
            <w:tcW w:w="2547" w:type="dxa"/>
            <w:gridSpan w:val="3"/>
            <w:shd w:val="clear" w:color="auto" w:fill="auto"/>
          </w:tcPr>
          <w:p w:rsidR="00E12159" w:rsidRPr="00E12159" w:rsidRDefault="00E12159" w:rsidP="00527809">
            <w:pPr>
              <w:spacing w:after="0" w:line="240" w:lineRule="auto"/>
              <w:jc w:val="center"/>
              <w:rPr>
                <w:rFonts w:eastAsia="Times New Roman" w:cs="Times New Roman"/>
                <w:b/>
                <w:sz w:val="24"/>
                <w:szCs w:val="24"/>
                <w:lang w:eastAsia="en-GB"/>
              </w:rPr>
            </w:pPr>
            <w:r w:rsidRPr="00E12159">
              <w:rPr>
                <w:rFonts w:eastAsia="Times New Roman" w:cs="Times New Roman"/>
                <w:b/>
                <w:sz w:val="24"/>
                <w:szCs w:val="24"/>
                <w:lang w:eastAsia="en-GB"/>
              </w:rPr>
              <w:t>Transgender</w:t>
            </w:r>
          </w:p>
        </w:tc>
        <w:tc>
          <w:tcPr>
            <w:tcW w:w="2532" w:type="dxa"/>
            <w:gridSpan w:val="2"/>
            <w:shd w:val="clear" w:color="auto" w:fill="auto"/>
          </w:tcPr>
          <w:p w:rsidR="00E12159" w:rsidRPr="00E12159" w:rsidRDefault="00E12159" w:rsidP="00515346">
            <w:pPr>
              <w:spacing w:after="0" w:line="240" w:lineRule="auto"/>
              <w:jc w:val="center"/>
              <w:rPr>
                <w:rFonts w:eastAsia="Times New Roman" w:cs="Times New Roman"/>
                <w:b/>
                <w:sz w:val="28"/>
                <w:szCs w:val="28"/>
                <w:lang w:eastAsia="en-GB"/>
              </w:rPr>
            </w:pPr>
            <w:r w:rsidRPr="00E12159">
              <w:rPr>
                <w:rFonts w:eastAsia="Times New Roman" w:cs="Times New Roman"/>
                <w:b/>
                <w:sz w:val="28"/>
                <w:szCs w:val="28"/>
                <w:lang w:eastAsia="en-GB"/>
              </w:rPr>
              <w:t xml:space="preserve">Total </w:t>
            </w:r>
          </w:p>
        </w:tc>
      </w:tr>
      <w:tr w:rsidR="00712358" w:rsidRPr="00712358" w:rsidTr="00904E4F">
        <w:trPr>
          <w:trHeight w:val="340"/>
        </w:trPr>
        <w:tc>
          <w:tcPr>
            <w:tcW w:w="2547" w:type="dxa"/>
            <w:shd w:val="clear" w:color="auto" w:fill="auto"/>
            <w:vAlign w:val="center"/>
          </w:tcPr>
          <w:p w:rsidR="00E12159" w:rsidRPr="0025798A" w:rsidRDefault="00A86DB8" w:rsidP="00407403">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3557</w:t>
            </w:r>
          </w:p>
        </w:tc>
        <w:tc>
          <w:tcPr>
            <w:tcW w:w="2547" w:type="dxa"/>
            <w:gridSpan w:val="3"/>
            <w:shd w:val="clear" w:color="auto" w:fill="auto"/>
            <w:vAlign w:val="center"/>
          </w:tcPr>
          <w:p w:rsidR="00E12159" w:rsidRPr="0025798A" w:rsidRDefault="00A86DB8" w:rsidP="00407403">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2330</w:t>
            </w:r>
          </w:p>
        </w:tc>
        <w:tc>
          <w:tcPr>
            <w:tcW w:w="2547" w:type="dxa"/>
            <w:gridSpan w:val="3"/>
            <w:shd w:val="clear" w:color="auto" w:fill="auto"/>
            <w:vAlign w:val="center"/>
          </w:tcPr>
          <w:p w:rsidR="00E12159" w:rsidRPr="0025798A" w:rsidRDefault="00A86DB8" w:rsidP="00631151">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17</w:t>
            </w:r>
          </w:p>
        </w:tc>
        <w:tc>
          <w:tcPr>
            <w:tcW w:w="2532" w:type="dxa"/>
            <w:gridSpan w:val="2"/>
            <w:shd w:val="clear" w:color="auto" w:fill="auto"/>
            <w:vAlign w:val="center"/>
          </w:tcPr>
          <w:p w:rsidR="00E12159" w:rsidRPr="0025798A" w:rsidRDefault="00A86DB8" w:rsidP="00631151">
            <w:pPr>
              <w:spacing w:after="0" w:line="240" w:lineRule="auto"/>
              <w:jc w:val="center"/>
              <w:rPr>
                <w:rFonts w:eastAsia="Times New Roman" w:cs="Times New Roman"/>
                <w:b/>
                <w:color w:val="FF0000"/>
                <w:sz w:val="28"/>
                <w:szCs w:val="28"/>
                <w:lang w:eastAsia="en-GB"/>
              </w:rPr>
            </w:pPr>
            <w:r>
              <w:rPr>
                <w:rFonts w:eastAsia="Times New Roman" w:cs="Times New Roman"/>
                <w:b/>
                <w:sz w:val="28"/>
                <w:szCs w:val="28"/>
                <w:lang w:eastAsia="en-GB"/>
              </w:rPr>
              <w:t>5904</w:t>
            </w:r>
          </w:p>
        </w:tc>
      </w:tr>
      <w:tr w:rsidR="00712358" w:rsidRPr="00712358" w:rsidTr="00904E4F">
        <w:trPr>
          <w:trHeight w:val="340"/>
        </w:trPr>
        <w:tc>
          <w:tcPr>
            <w:tcW w:w="10173" w:type="dxa"/>
            <w:gridSpan w:val="9"/>
            <w:shd w:val="clear" w:color="auto" w:fill="F2DBDB" w:themeFill="accent2" w:themeFillTint="33"/>
            <w:vAlign w:val="center"/>
          </w:tcPr>
          <w:p w:rsidR="00405807" w:rsidRPr="00712358" w:rsidRDefault="00405807" w:rsidP="00073D1F">
            <w:pPr>
              <w:spacing w:after="0" w:line="240" w:lineRule="auto"/>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Individuals referred to The Salvation Army who did not receive support</w:t>
            </w:r>
            <w:r w:rsidR="00073D1F">
              <w:rPr>
                <w:rFonts w:eastAsia="Times New Roman" w:cs="Times New Roman"/>
                <w:b/>
                <w:color w:val="000000" w:themeColor="text1"/>
                <w:sz w:val="24"/>
                <w:szCs w:val="24"/>
                <w:lang w:eastAsia="en-GB"/>
              </w:rPr>
              <w:t xml:space="preserve"> :  </w:t>
            </w:r>
            <w:r w:rsidR="00A80AA3" w:rsidRPr="00712358">
              <w:rPr>
                <w:rFonts w:eastAsia="Times New Roman" w:cs="Times New Roman"/>
                <w:b/>
                <w:color w:val="000000" w:themeColor="text1"/>
                <w:sz w:val="24"/>
                <w:szCs w:val="24"/>
                <w:lang w:eastAsia="en-GB"/>
              </w:rPr>
              <w:t>Breakdown by Gender</w:t>
            </w:r>
          </w:p>
        </w:tc>
      </w:tr>
      <w:tr w:rsidR="00712358" w:rsidRPr="00712358" w:rsidTr="00904E4F">
        <w:trPr>
          <w:trHeight w:val="340"/>
        </w:trPr>
        <w:tc>
          <w:tcPr>
            <w:tcW w:w="2547" w:type="dxa"/>
            <w:shd w:val="clear" w:color="auto" w:fill="auto"/>
          </w:tcPr>
          <w:p w:rsidR="00A80AA3" w:rsidRPr="00712358" w:rsidRDefault="00A80AA3" w:rsidP="00527809">
            <w:pPr>
              <w:spacing w:after="0" w:line="240" w:lineRule="auto"/>
              <w:jc w:val="center"/>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Female</w:t>
            </w:r>
          </w:p>
        </w:tc>
        <w:tc>
          <w:tcPr>
            <w:tcW w:w="2547" w:type="dxa"/>
            <w:gridSpan w:val="3"/>
            <w:shd w:val="clear" w:color="auto" w:fill="auto"/>
          </w:tcPr>
          <w:p w:rsidR="00A80AA3" w:rsidRPr="00712358" w:rsidRDefault="00A80AA3" w:rsidP="00527809">
            <w:pPr>
              <w:spacing w:after="0" w:line="240" w:lineRule="auto"/>
              <w:jc w:val="center"/>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Male</w:t>
            </w:r>
          </w:p>
        </w:tc>
        <w:tc>
          <w:tcPr>
            <w:tcW w:w="2547" w:type="dxa"/>
            <w:gridSpan w:val="3"/>
            <w:shd w:val="clear" w:color="auto" w:fill="auto"/>
          </w:tcPr>
          <w:p w:rsidR="00A80AA3" w:rsidRPr="00712358" w:rsidRDefault="00A80AA3" w:rsidP="00527809">
            <w:pPr>
              <w:spacing w:after="0" w:line="240" w:lineRule="auto"/>
              <w:jc w:val="center"/>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Transgender</w:t>
            </w:r>
          </w:p>
        </w:tc>
        <w:tc>
          <w:tcPr>
            <w:tcW w:w="2532" w:type="dxa"/>
            <w:gridSpan w:val="2"/>
            <w:shd w:val="clear" w:color="auto" w:fill="auto"/>
          </w:tcPr>
          <w:p w:rsidR="00A80AA3" w:rsidRPr="00712358" w:rsidRDefault="00A80AA3" w:rsidP="00527809">
            <w:pPr>
              <w:spacing w:after="0" w:line="240" w:lineRule="auto"/>
              <w:jc w:val="center"/>
              <w:rPr>
                <w:rFonts w:eastAsia="Times New Roman" w:cs="Times New Roman"/>
                <w:b/>
                <w:color w:val="000000" w:themeColor="text1"/>
                <w:sz w:val="28"/>
                <w:szCs w:val="28"/>
                <w:lang w:eastAsia="en-GB"/>
              </w:rPr>
            </w:pPr>
            <w:r w:rsidRPr="00712358">
              <w:rPr>
                <w:rFonts w:eastAsia="Times New Roman" w:cs="Times New Roman"/>
                <w:b/>
                <w:color w:val="000000" w:themeColor="text1"/>
                <w:sz w:val="28"/>
                <w:szCs w:val="28"/>
                <w:lang w:eastAsia="en-GB"/>
              </w:rPr>
              <w:t xml:space="preserve">Total </w:t>
            </w:r>
          </w:p>
        </w:tc>
      </w:tr>
      <w:tr w:rsidR="00712358" w:rsidRPr="00712358" w:rsidTr="00904E4F">
        <w:trPr>
          <w:trHeight w:val="340"/>
        </w:trPr>
        <w:tc>
          <w:tcPr>
            <w:tcW w:w="2547" w:type="dxa"/>
            <w:shd w:val="clear" w:color="auto" w:fill="auto"/>
            <w:vAlign w:val="center"/>
          </w:tcPr>
          <w:p w:rsidR="00405807" w:rsidRPr="0025798A" w:rsidRDefault="00A86DB8" w:rsidP="00C773D7">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1526</w:t>
            </w:r>
          </w:p>
        </w:tc>
        <w:tc>
          <w:tcPr>
            <w:tcW w:w="2547" w:type="dxa"/>
            <w:gridSpan w:val="3"/>
            <w:shd w:val="clear" w:color="auto" w:fill="auto"/>
            <w:vAlign w:val="center"/>
          </w:tcPr>
          <w:p w:rsidR="00405807" w:rsidRPr="0025798A" w:rsidRDefault="00A86DB8" w:rsidP="00A567EE">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1709</w:t>
            </w:r>
          </w:p>
        </w:tc>
        <w:tc>
          <w:tcPr>
            <w:tcW w:w="2547" w:type="dxa"/>
            <w:gridSpan w:val="3"/>
            <w:shd w:val="clear" w:color="auto" w:fill="auto"/>
            <w:vAlign w:val="center"/>
          </w:tcPr>
          <w:p w:rsidR="00405807" w:rsidRPr="0025798A" w:rsidRDefault="00CE5C36" w:rsidP="00527809">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11</w:t>
            </w:r>
          </w:p>
        </w:tc>
        <w:tc>
          <w:tcPr>
            <w:tcW w:w="2532" w:type="dxa"/>
            <w:gridSpan w:val="2"/>
            <w:tcBorders>
              <w:top w:val="nil"/>
              <w:bottom w:val="nil"/>
            </w:tcBorders>
            <w:shd w:val="clear" w:color="auto" w:fill="auto"/>
            <w:vAlign w:val="center"/>
          </w:tcPr>
          <w:p w:rsidR="00405807" w:rsidRPr="0025798A" w:rsidRDefault="00A86DB8" w:rsidP="00294742">
            <w:pPr>
              <w:spacing w:after="0" w:line="240" w:lineRule="auto"/>
              <w:jc w:val="center"/>
              <w:rPr>
                <w:rFonts w:eastAsia="Times New Roman" w:cs="Times New Roman"/>
                <w:b/>
                <w:color w:val="FF0000"/>
                <w:sz w:val="28"/>
                <w:szCs w:val="28"/>
                <w:lang w:eastAsia="en-GB"/>
              </w:rPr>
            </w:pPr>
            <w:r>
              <w:rPr>
                <w:rFonts w:eastAsia="Times New Roman" w:cs="Times New Roman"/>
                <w:b/>
                <w:sz w:val="28"/>
                <w:szCs w:val="28"/>
                <w:lang w:eastAsia="en-GB"/>
              </w:rPr>
              <w:t>3246</w:t>
            </w:r>
          </w:p>
        </w:tc>
      </w:tr>
      <w:tr w:rsidR="00712358" w:rsidRPr="00712358" w:rsidTr="00904E4F">
        <w:trPr>
          <w:trHeight w:val="340"/>
        </w:trPr>
        <w:tc>
          <w:tcPr>
            <w:tcW w:w="10173" w:type="dxa"/>
            <w:gridSpan w:val="9"/>
            <w:shd w:val="clear" w:color="auto" w:fill="F2DBDB" w:themeFill="accent2" w:themeFillTint="33"/>
          </w:tcPr>
          <w:p w:rsidR="00405807" w:rsidRPr="00712358" w:rsidRDefault="00A80AA3" w:rsidP="00A80AA3">
            <w:pPr>
              <w:spacing w:after="0" w:line="240" w:lineRule="auto"/>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 xml:space="preserve">Individuals referred to The Salvation Army who did not receive support:  Breakdown by Category </w:t>
            </w:r>
          </w:p>
        </w:tc>
      </w:tr>
      <w:tr w:rsidR="00712358" w:rsidRPr="00712358" w:rsidTr="00904E4F">
        <w:tc>
          <w:tcPr>
            <w:tcW w:w="4608" w:type="dxa"/>
            <w:gridSpan w:val="2"/>
            <w:shd w:val="clear" w:color="auto" w:fill="auto"/>
          </w:tcPr>
          <w:p w:rsidR="00405807" w:rsidRPr="00D64D7D" w:rsidRDefault="00405807" w:rsidP="00856B16">
            <w:pPr>
              <w:spacing w:after="0" w:line="240" w:lineRule="auto"/>
              <w:rPr>
                <w:rFonts w:eastAsia="Times New Roman" w:cs="Times New Roman"/>
                <w:b/>
                <w:color w:val="000000" w:themeColor="text1"/>
                <w:lang w:eastAsia="en-GB"/>
              </w:rPr>
            </w:pPr>
            <w:r w:rsidRPr="00D64D7D">
              <w:rPr>
                <w:rFonts w:eastAsia="Times New Roman" w:cs="Times New Roman"/>
                <w:b/>
                <w:color w:val="000000" w:themeColor="text1"/>
                <w:lang w:eastAsia="en-GB"/>
              </w:rPr>
              <w:t xml:space="preserve">Not eligible for support under terms of AVMS Contract: </w:t>
            </w:r>
          </w:p>
          <w:p w:rsidR="00405807" w:rsidRPr="00D64D7D" w:rsidRDefault="00405807" w:rsidP="00515346">
            <w:pPr>
              <w:spacing w:after="0" w:line="240" w:lineRule="auto"/>
              <w:rPr>
                <w:rFonts w:eastAsia="Times New Roman" w:cs="Times New Roman"/>
                <w:b/>
                <w:color w:val="000000" w:themeColor="text1"/>
                <w:lang w:eastAsia="en-GB"/>
              </w:rPr>
            </w:pPr>
            <w:r w:rsidRPr="00D64D7D">
              <w:rPr>
                <w:rFonts w:eastAsia="Times New Roman" w:cs="Times New Roman"/>
                <w:b/>
                <w:color w:val="000000" w:themeColor="text1"/>
                <w:lang w:eastAsia="en-GB"/>
              </w:rPr>
              <w:t xml:space="preserve">(E.g. no evidence of trafficking indicators; individual is aged under 18 yrs.) </w:t>
            </w:r>
          </w:p>
        </w:tc>
        <w:tc>
          <w:tcPr>
            <w:tcW w:w="5565" w:type="dxa"/>
            <w:gridSpan w:val="7"/>
            <w:shd w:val="clear" w:color="auto" w:fill="auto"/>
          </w:tcPr>
          <w:p w:rsidR="00405807" w:rsidRPr="0076598A" w:rsidRDefault="00A86DB8" w:rsidP="00A567EE">
            <w:pPr>
              <w:spacing w:after="0" w:line="240" w:lineRule="auto"/>
              <w:jc w:val="center"/>
              <w:rPr>
                <w:rFonts w:eastAsia="Times New Roman" w:cs="Times New Roman"/>
                <w:b/>
                <w:sz w:val="28"/>
                <w:szCs w:val="28"/>
                <w:lang w:eastAsia="en-GB"/>
              </w:rPr>
            </w:pPr>
            <w:r>
              <w:rPr>
                <w:rFonts w:eastAsia="Times New Roman" w:cs="Times New Roman"/>
                <w:b/>
                <w:sz w:val="28"/>
                <w:szCs w:val="28"/>
                <w:lang w:eastAsia="en-GB"/>
              </w:rPr>
              <w:t>1437</w:t>
            </w:r>
          </w:p>
        </w:tc>
      </w:tr>
      <w:tr w:rsidR="00712358" w:rsidRPr="00712358" w:rsidTr="00904E4F">
        <w:trPr>
          <w:trHeight w:val="233"/>
        </w:trPr>
        <w:tc>
          <w:tcPr>
            <w:tcW w:w="4608" w:type="dxa"/>
            <w:gridSpan w:val="2"/>
            <w:shd w:val="clear" w:color="auto" w:fill="auto"/>
          </w:tcPr>
          <w:p w:rsidR="00405807" w:rsidRPr="00D64D7D" w:rsidRDefault="00405807" w:rsidP="00856B16">
            <w:pPr>
              <w:spacing w:after="0" w:line="240" w:lineRule="auto"/>
              <w:rPr>
                <w:rFonts w:eastAsia="Times New Roman" w:cs="Times New Roman"/>
                <w:b/>
                <w:color w:val="000000" w:themeColor="text1"/>
                <w:lang w:eastAsia="en-GB"/>
              </w:rPr>
            </w:pPr>
            <w:r w:rsidRPr="00D64D7D">
              <w:rPr>
                <w:rFonts w:eastAsia="Times New Roman" w:cs="Times New Roman"/>
                <w:b/>
                <w:color w:val="000000" w:themeColor="text1"/>
                <w:lang w:eastAsia="en-GB"/>
              </w:rPr>
              <w:t xml:space="preserve">Potential Victim declined offer of support  </w:t>
            </w:r>
          </w:p>
          <w:p w:rsidR="00405807" w:rsidRPr="00D64D7D" w:rsidRDefault="00405807" w:rsidP="00856B16">
            <w:pPr>
              <w:spacing w:after="0" w:line="240" w:lineRule="auto"/>
              <w:rPr>
                <w:rFonts w:eastAsia="Times New Roman" w:cs="Times New Roman"/>
                <w:b/>
                <w:color w:val="000000" w:themeColor="text1"/>
                <w:lang w:eastAsia="en-GB"/>
              </w:rPr>
            </w:pPr>
            <w:r w:rsidRPr="00D64D7D">
              <w:rPr>
                <w:rFonts w:eastAsia="Times New Roman" w:cs="Times New Roman"/>
                <w:b/>
                <w:color w:val="000000" w:themeColor="text1"/>
                <w:lang w:eastAsia="en-GB"/>
              </w:rPr>
              <w:t>(E.g. Choosing to receive help from another organisation)</w:t>
            </w:r>
          </w:p>
        </w:tc>
        <w:tc>
          <w:tcPr>
            <w:tcW w:w="5565" w:type="dxa"/>
            <w:gridSpan w:val="7"/>
            <w:shd w:val="clear" w:color="auto" w:fill="auto"/>
          </w:tcPr>
          <w:p w:rsidR="00405807" w:rsidRPr="0076598A" w:rsidRDefault="00A86DB8" w:rsidP="00A567EE">
            <w:pPr>
              <w:spacing w:after="0" w:line="240" w:lineRule="auto"/>
              <w:jc w:val="center"/>
              <w:rPr>
                <w:rFonts w:eastAsia="Times New Roman" w:cs="Times New Roman"/>
                <w:b/>
                <w:sz w:val="28"/>
                <w:szCs w:val="28"/>
                <w:lang w:eastAsia="en-GB"/>
              </w:rPr>
            </w:pPr>
            <w:r>
              <w:rPr>
                <w:rFonts w:eastAsia="Times New Roman" w:cs="Times New Roman"/>
                <w:b/>
                <w:sz w:val="28"/>
                <w:szCs w:val="28"/>
                <w:lang w:eastAsia="en-GB"/>
              </w:rPr>
              <w:t>311</w:t>
            </w:r>
          </w:p>
        </w:tc>
      </w:tr>
      <w:tr w:rsidR="00712358" w:rsidRPr="00712358" w:rsidTr="00904E4F">
        <w:trPr>
          <w:trHeight w:val="233"/>
        </w:trPr>
        <w:tc>
          <w:tcPr>
            <w:tcW w:w="4608" w:type="dxa"/>
            <w:gridSpan w:val="2"/>
            <w:shd w:val="clear" w:color="auto" w:fill="auto"/>
          </w:tcPr>
          <w:p w:rsidR="00405807" w:rsidRPr="00D64D7D" w:rsidRDefault="00405807" w:rsidP="00856B16">
            <w:pPr>
              <w:spacing w:after="0" w:line="240" w:lineRule="auto"/>
              <w:rPr>
                <w:rFonts w:eastAsia="Times New Roman" w:cs="Times New Roman"/>
                <w:b/>
                <w:color w:val="000000" w:themeColor="text1"/>
                <w:lang w:eastAsia="en-GB"/>
              </w:rPr>
            </w:pPr>
            <w:r w:rsidRPr="00D64D7D">
              <w:rPr>
                <w:rFonts w:eastAsia="Times New Roman" w:cs="Times New Roman"/>
                <w:b/>
                <w:color w:val="000000" w:themeColor="text1"/>
                <w:lang w:eastAsia="en-GB"/>
              </w:rPr>
              <w:t>TSA unable to contact  Potential Victim:</w:t>
            </w:r>
          </w:p>
          <w:p w:rsidR="00405807" w:rsidRPr="00D64D7D" w:rsidRDefault="00405807" w:rsidP="0060557B">
            <w:pPr>
              <w:spacing w:after="0" w:line="240" w:lineRule="auto"/>
              <w:rPr>
                <w:rFonts w:eastAsia="Times New Roman" w:cs="Times New Roman"/>
                <w:b/>
                <w:color w:val="000000" w:themeColor="text1"/>
                <w:lang w:eastAsia="en-GB"/>
              </w:rPr>
            </w:pPr>
            <w:r w:rsidRPr="00D64D7D">
              <w:rPr>
                <w:rFonts w:eastAsia="Times New Roman" w:cs="Times New Roman"/>
                <w:b/>
                <w:color w:val="000000" w:themeColor="text1"/>
                <w:lang w:eastAsia="en-GB"/>
              </w:rPr>
              <w:t xml:space="preserve">(E.g. Referrer fails to provide contact details for the Potential Victim; Potential Victim  fails to respond to attempts to contact)           </w:t>
            </w:r>
          </w:p>
        </w:tc>
        <w:tc>
          <w:tcPr>
            <w:tcW w:w="5565" w:type="dxa"/>
            <w:gridSpan w:val="7"/>
            <w:shd w:val="clear" w:color="auto" w:fill="auto"/>
          </w:tcPr>
          <w:p w:rsidR="00405807" w:rsidRPr="0076598A" w:rsidRDefault="00A86DB8" w:rsidP="00A567EE">
            <w:pPr>
              <w:spacing w:after="0" w:line="240" w:lineRule="auto"/>
              <w:jc w:val="center"/>
              <w:rPr>
                <w:rFonts w:eastAsia="Times New Roman" w:cs="Times New Roman"/>
                <w:b/>
                <w:sz w:val="28"/>
                <w:szCs w:val="28"/>
                <w:lang w:eastAsia="en-GB"/>
              </w:rPr>
            </w:pPr>
            <w:r>
              <w:rPr>
                <w:rFonts w:eastAsia="Times New Roman" w:cs="Times New Roman"/>
                <w:b/>
                <w:sz w:val="28"/>
                <w:szCs w:val="28"/>
                <w:lang w:eastAsia="en-GB"/>
              </w:rPr>
              <w:t>1498</w:t>
            </w:r>
          </w:p>
        </w:tc>
      </w:tr>
      <w:tr w:rsidR="00712358" w:rsidRPr="00712358" w:rsidTr="00904E4F">
        <w:trPr>
          <w:trHeight w:val="283"/>
        </w:trPr>
        <w:tc>
          <w:tcPr>
            <w:tcW w:w="10173" w:type="dxa"/>
            <w:gridSpan w:val="9"/>
            <w:shd w:val="clear" w:color="auto" w:fill="F2DBDB" w:themeFill="accent2" w:themeFillTint="33"/>
          </w:tcPr>
          <w:p w:rsidR="00405807" w:rsidRPr="00712358" w:rsidRDefault="00405807" w:rsidP="00D64D7D">
            <w:pPr>
              <w:spacing w:after="0" w:line="240" w:lineRule="auto"/>
              <w:rPr>
                <w:rFonts w:eastAsia="Times New Roman" w:cs="Times New Roman"/>
                <w:color w:val="000000" w:themeColor="text1"/>
                <w:sz w:val="24"/>
                <w:szCs w:val="24"/>
                <w:lang w:eastAsia="en-GB"/>
              </w:rPr>
            </w:pPr>
            <w:r w:rsidRPr="00712358">
              <w:rPr>
                <w:rFonts w:eastAsia="Times New Roman" w:cs="Times New Roman"/>
                <w:b/>
                <w:color w:val="000000" w:themeColor="text1"/>
                <w:sz w:val="24"/>
                <w:szCs w:val="24"/>
                <w:lang w:eastAsia="en-GB"/>
              </w:rPr>
              <w:t>Number of clients</w:t>
            </w:r>
            <w:r w:rsidR="00D64D7D">
              <w:rPr>
                <w:rFonts w:eastAsia="Times New Roman" w:cs="Times New Roman"/>
                <w:b/>
                <w:color w:val="000000" w:themeColor="text1"/>
                <w:sz w:val="24"/>
                <w:szCs w:val="24"/>
                <w:lang w:eastAsia="en-GB"/>
              </w:rPr>
              <w:t xml:space="preserve"> referred from </w:t>
            </w:r>
            <w:r w:rsidR="00D64D7D" w:rsidRPr="00167FCF">
              <w:rPr>
                <w:rFonts w:eastAsia="Times New Roman" w:cs="Times New Roman"/>
                <w:b/>
                <w:color w:val="000000" w:themeColor="text1"/>
                <w:sz w:val="24"/>
                <w:szCs w:val="24"/>
                <w:u w:val="single"/>
                <w:lang w:eastAsia="en-GB"/>
              </w:rPr>
              <w:t>April 2015</w:t>
            </w:r>
            <w:r w:rsidR="00D64D7D">
              <w:rPr>
                <w:rFonts w:eastAsia="Times New Roman" w:cs="Times New Roman"/>
                <w:b/>
                <w:color w:val="000000" w:themeColor="text1"/>
                <w:sz w:val="24"/>
                <w:szCs w:val="24"/>
                <w:lang w:eastAsia="en-GB"/>
              </w:rPr>
              <w:t xml:space="preserve"> and are</w:t>
            </w:r>
            <w:r w:rsidRPr="00712358">
              <w:rPr>
                <w:rFonts w:eastAsia="Times New Roman" w:cs="Times New Roman"/>
                <w:b/>
                <w:color w:val="000000" w:themeColor="text1"/>
                <w:sz w:val="24"/>
                <w:szCs w:val="24"/>
                <w:lang w:eastAsia="en-GB"/>
              </w:rPr>
              <w:t xml:space="preserve"> currently being supported</w:t>
            </w:r>
            <w:r w:rsidR="00D64D7D">
              <w:rPr>
                <w:rFonts w:eastAsia="Times New Roman" w:cs="Times New Roman"/>
                <w:b/>
                <w:color w:val="000000" w:themeColor="text1"/>
                <w:sz w:val="24"/>
                <w:szCs w:val="24"/>
                <w:lang w:eastAsia="en-GB"/>
              </w:rPr>
              <w:t xml:space="preserve"> :</w:t>
            </w:r>
            <w:r w:rsidRPr="00712358">
              <w:rPr>
                <w:rFonts w:eastAsia="Times New Roman" w:cs="Times New Roman"/>
                <w:b/>
                <w:color w:val="000000" w:themeColor="text1"/>
                <w:sz w:val="24"/>
                <w:szCs w:val="24"/>
                <w:lang w:eastAsia="en-GB"/>
              </w:rPr>
              <w:t xml:space="preserve"> Breakdown by Support Type and Gender </w:t>
            </w:r>
          </w:p>
        </w:tc>
      </w:tr>
      <w:tr w:rsidR="00712358" w:rsidRPr="00712358" w:rsidTr="00904E4F">
        <w:trPr>
          <w:trHeight w:val="283"/>
        </w:trPr>
        <w:tc>
          <w:tcPr>
            <w:tcW w:w="4644" w:type="dxa"/>
            <w:gridSpan w:val="3"/>
            <w:shd w:val="clear" w:color="auto" w:fill="F2DBDB" w:themeFill="accent2" w:themeFillTint="33"/>
          </w:tcPr>
          <w:p w:rsidR="00405807" w:rsidRPr="00712358" w:rsidRDefault="00405807" w:rsidP="00E12159">
            <w:pPr>
              <w:spacing w:after="0" w:line="240" w:lineRule="auto"/>
              <w:jc w:val="center"/>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 xml:space="preserve">                                                                       </w:t>
            </w:r>
          </w:p>
        </w:tc>
        <w:tc>
          <w:tcPr>
            <w:tcW w:w="1418" w:type="dxa"/>
            <w:gridSpan w:val="2"/>
            <w:shd w:val="clear" w:color="auto" w:fill="F2DBDB" w:themeFill="accent2" w:themeFillTint="33"/>
          </w:tcPr>
          <w:p w:rsidR="00405807" w:rsidRPr="00712358" w:rsidRDefault="00405807" w:rsidP="00527809">
            <w:pPr>
              <w:spacing w:after="0" w:line="240" w:lineRule="auto"/>
              <w:jc w:val="center"/>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Female</w:t>
            </w:r>
          </w:p>
        </w:tc>
        <w:tc>
          <w:tcPr>
            <w:tcW w:w="1134" w:type="dxa"/>
            <w:shd w:val="clear" w:color="auto" w:fill="F2DBDB" w:themeFill="accent2" w:themeFillTint="33"/>
          </w:tcPr>
          <w:p w:rsidR="00405807" w:rsidRPr="00712358" w:rsidRDefault="00405807" w:rsidP="00E12159">
            <w:pPr>
              <w:spacing w:after="0" w:line="240" w:lineRule="auto"/>
              <w:jc w:val="center"/>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Male</w:t>
            </w:r>
          </w:p>
        </w:tc>
        <w:tc>
          <w:tcPr>
            <w:tcW w:w="1559" w:type="dxa"/>
            <w:gridSpan w:val="2"/>
            <w:shd w:val="clear" w:color="auto" w:fill="F2DBDB" w:themeFill="accent2" w:themeFillTint="33"/>
          </w:tcPr>
          <w:p w:rsidR="00405807" w:rsidRPr="00712358" w:rsidRDefault="00405807" w:rsidP="00E12159">
            <w:pPr>
              <w:spacing w:after="0" w:line="240" w:lineRule="auto"/>
              <w:jc w:val="center"/>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Transgender</w:t>
            </w:r>
          </w:p>
        </w:tc>
        <w:tc>
          <w:tcPr>
            <w:tcW w:w="1418" w:type="dxa"/>
            <w:tcBorders>
              <w:top w:val="single" w:sz="4" w:space="0" w:color="auto"/>
              <w:bottom w:val="single" w:sz="4" w:space="0" w:color="auto"/>
            </w:tcBorders>
            <w:shd w:val="clear" w:color="auto" w:fill="F2DBDB" w:themeFill="accent2" w:themeFillTint="33"/>
          </w:tcPr>
          <w:p w:rsidR="00405807" w:rsidRPr="00712358" w:rsidRDefault="00405807" w:rsidP="00E12159">
            <w:pPr>
              <w:spacing w:after="0" w:line="240" w:lineRule="auto"/>
              <w:jc w:val="center"/>
              <w:rPr>
                <w:rFonts w:eastAsia="Times New Roman" w:cs="Times New Roman"/>
                <w:b/>
                <w:color w:val="000000" w:themeColor="text1"/>
                <w:sz w:val="28"/>
                <w:szCs w:val="28"/>
                <w:lang w:eastAsia="en-GB"/>
              </w:rPr>
            </w:pPr>
            <w:r w:rsidRPr="00712358">
              <w:rPr>
                <w:rFonts w:eastAsia="Times New Roman" w:cs="Times New Roman"/>
                <w:b/>
                <w:color w:val="000000" w:themeColor="text1"/>
                <w:sz w:val="28"/>
                <w:szCs w:val="28"/>
                <w:lang w:eastAsia="en-GB"/>
              </w:rPr>
              <w:t>Total</w:t>
            </w:r>
          </w:p>
        </w:tc>
      </w:tr>
      <w:tr w:rsidR="00712358" w:rsidRPr="00712358" w:rsidTr="00904E4F">
        <w:trPr>
          <w:trHeight w:val="283"/>
        </w:trPr>
        <w:tc>
          <w:tcPr>
            <w:tcW w:w="4644" w:type="dxa"/>
            <w:gridSpan w:val="3"/>
            <w:shd w:val="clear" w:color="auto" w:fill="auto"/>
          </w:tcPr>
          <w:p w:rsidR="00405807" w:rsidRPr="00712358" w:rsidRDefault="00405807" w:rsidP="00546014">
            <w:pPr>
              <w:spacing w:after="0" w:line="240" w:lineRule="auto"/>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 xml:space="preserve">Outreach Support </w:t>
            </w:r>
          </w:p>
        </w:tc>
        <w:tc>
          <w:tcPr>
            <w:tcW w:w="1418" w:type="dxa"/>
            <w:gridSpan w:val="2"/>
            <w:tcBorders>
              <w:top w:val="single" w:sz="4" w:space="0" w:color="auto"/>
            </w:tcBorders>
            <w:shd w:val="clear" w:color="auto" w:fill="auto"/>
            <w:vAlign w:val="center"/>
          </w:tcPr>
          <w:p w:rsidR="00405807" w:rsidRPr="0025798A" w:rsidRDefault="00A86DB8" w:rsidP="00821C30">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1541</w:t>
            </w:r>
          </w:p>
        </w:tc>
        <w:tc>
          <w:tcPr>
            <w:tcW w:w="1134" w:type="dxa"/>
            <w:tcBorders>
              <w:top w:val="single" w:sz="4" w:space="0" w:color="auto"/>
            </w:tcBorders>
            <w:shd w:val="clear" w:color="auto" w:fill="auto"/>
            <w:vAlign w:val="center"/>
          </w:tcPr>
          <w:p w:rsidR="00405807" w:rsidRPr="0025798A" w:rsidRDefault="00A86DB8" w:rsidP="00320330">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549</w:t>
            </w:r>
          </w:p>
        </w:tc>
        <w:tc>
          <w:tcPr>
            <w:tcW w:w="1559" w:type="dxa"/>
            <w:gridSpan w:val="2"/>
            <w:tcBorders>
              <w:top w:val="single" w:sz="4" w:space="0" w:color="auto"/>
            </w:tcBorders>
            <w:shd w:val="clear" w:color="auto" w:fill="auto"/>
            <w:vAlign w:val="center"/>
          </w:tcPr>
          <w:p w:rsidR="00405807" w:rsidRPr="0025798A" w:rsidRDefault="00A86DB8" w:rsidP="004B6DB7">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5</w:t>
            </w:r>
          </w:p>
        </w:tc>
        <w:tc>
          <w:tcPr>
            <w:tcW w:w="1418" w:type="dxa"/>
            <w:tcBorders>
              <w:top w:val="single" w:sz="4" w:space="0" w:color="auto"/>
              <w:bottom w:val="single" w:sz="4" w:space="0" w:color="auto"/>
            </w:tcBorders>
            <w:shd w:val="clear" w:color="auto" w:fill="auto"/>
            <w:vAlign w:val="center"/>
          </w:tcPr>
          <w:p w:rsidR="00405807" w:rsidRPr="0025798A" w:rsidRDefault="00A86DB8" w:rsidP="00320330">
            <w:pPr>
              <w:spacing w:after="0" w:line="240" w:lineRule="auto"/>
              <w:jc w:val="center"/>
              <w:rPr>
                <w:rFonts w:eastAsia="Times New Roman" w:cs="Times New Roman"/>
                <w:b/>
                <w:color w:val="FF0000"/>
                <w:sz w:val="28"/>
                <w:szCs w:val="28"/>
                <w:lang w:eastAsia="en-GB"/>
              </w:rPr>
            </w:pPr>
            <w:r>
              <w:rPr>
                <w:rFonts w:eastAsia="Times New Roman" w:cs="Times New Roman"/>
                <w:b/>
                <w:sz w:val="28"/>
                <w:szCs w:val="28"/>
                <w:lang w:eastAsia="en-GB"/>
              </w:rPr>
              <w:t>2095</w:t>
            </w:r>
          </w:p>
        </w:tc>
      </w:tr>
      <w:tr w:rsidR="00712358" w:rsidRPr="00712358" w:rsidTr="00904E4F">
        <w:trPr>
          <w:trHeight w:val="283"/>
        </w:trPr>
        <w:tc>
          <w:tcPr>
            <w:tcW w:w="4644" w:type="dxa"/>
            <w:gridSpan w:val="3"/>
            <w:shd w:val="clear" w:color="auto" w:fill="auto"/>
          </w:tcPr>
          <w:p w:rsidR="00405807" w:rsidRPr="00712358" w:rsidRDefault="008A7450" w:rsidP="00546014">
            <w:pPr>
              <w:spacing w:after="0" w:line="240" w:lineRule="auto"/>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Safe House Accommodation</w:t>
            </w:r>
          </w:p>
        </w:tc>
        <w:tc>
          <w:tcPr>
            <w:tcW w:w="1418" w:type="dxa"/>
            <w:gridSpan w:val="2"/>
            <w:shd w:val="clear" w:color="auto" w:fill="auto"/>
            <w:vAlign w:val="center"/>
          </w:tcPr>
          <w:p w:rsidR="00405807" w:rsidRPr="0025798A" w:rsidRDefault="00A86DB8" w:rsidP="00821C30">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196</w:t>
            </w:r>
          </w:p>
        </w:tc>
        <w:tc>
          <w:tcPr>
            <w:tcW w:w="1134" w:type="dxa"/>
            <w:shd w:val="clear" w:color="auto" w:fill="auto"/>
            <w:vAlign w:val="center"/>
          </w:tcPr>
          <w:p w:rsidR="00405807" w:rsidRPr="0025798A" w:rsidRDefault="00A86DB8" w:rsidP="00821C30">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228</w:t>
            </w:r>
          </w:p>
        </w:tc>
        <w:tc>
          <w:tcPr>
            <w:tcW w:w="1559" w:type="dxa"/>
            <w:gridSpan w:val="2"/>
            <w:shd w:val="clear" w:color="auto" w:fill="auto"/>
            <w:vAlign w:val="center"/>
          </w:tcPr>
          <w:p w:rsidR="00405807" w:rsidRPr="0025798A" w:rsidRDefault="00741E5C" w:rsidP="004B6DB7">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2</w:t>
            </w:r>
          </w:p>
        </w:tc>
        <w:tc>
          <w:tcPr>
            <w:tcW w:w="1418" w:type="dxa"/>
            <w:tcBorders>
              <w:top w:val="single" w:sz="4" w:space="0" w:color="auto"/>
              <w:bottom w:val="single" w:sz="4" w:space="0" w:color="auto"/>
            </w:tcBorders>
            <w:shd w:val="clear" w:color="auto" w:fill="auto"/>
            <w:vAlign w:val="center"/>
          </w:tcPr>
          <w:p w:rsidR="00405807" w:rsidRPr="0025798A" w:rsidRDefault="00A86DB8" w:rsidP="00AA11E2">
            <w:pPr>
              <w:spacing w:after="0" w:line="240" w:lineRule="auto"/>
              <w:jc w:val="center"/>
              <w:rPr>
                <w:rFonts w:eastAsia="Times New Roman" w:cs="Times New Roman"/>
                <w:b/>
                <w:color w:val="FF0000"/>
                <w:sz w:val="28"/>
                <w:szCs w:val="28"/>
                <w:lang w:eastAsia="en-GB"/>
              </w:rPr>
            </w:pPr>
            <w:r>
              <w:rPr>
                <w:rFonts w:eastAsia="Times New Roman" w:cs="Times New Roman"/>
                <w:b/>
                <w:sz w:val="28"/>
                <w:szCs w:val="28"/>
                <w:lang w:eastAsia="en-GB"/>
              </w:rPr>
              <w:t>426</w:t>
            </w:r>
          </w:p>
        </w:tc>
      </w:tr>
      <w:tr w:rsidR="00D64D7D" w:rsidRPr="00712358" w:rsidTr="00904E4F">
        <w:trPr>
          <w:trHeight w:val="283"/>
        </w:trPr>
        <w:tc>
          <w:tcPr>
            <w:tcW w:w="10173" w:type="dxa"/>
            <w:gridSpan w:val="9"/>
            <w:shd w:val="clear" w:color="auto" w:fill="F2DBDB" w:themeFill="accent2" w:themeFillTint="33"/>
          </w:tcPr>
          <w:p w:rsidR="00D64D7D" w:rsidRPr="00712358" w:rsidRDefault="008B1FEB" w:rsidP="009E0871">
            <w:pPr>
              <w:spacing w:after="0" w:line="240" w:lineRule="auto"/>
              <w:rPr>
                <w:rFonts w:eastAsia="Times New Roman" w:cs="Times New Roman"/>
                <w:color w:val="000000" w:themeColor="text1"/>
                <w:sz w:val="24"/>
                <w:szCs w:val="24"/>
                <w:lang w:eastAsia="en-GB"/>
              </w:rPr>
            </w:pPr>
            <w:r>
              <w:rPr>
                <w:rFonts w:eastAsia="Times New Roman" w:cs="Times New Roman"/>
                <w:b/>
                <w:color w:val="000000" w:themeColor="text1"/>
                <w:sz w:val="24"/>
                <w:szCs w:val="24"/>
                <w:lang w:eastAsia="en-GB"/>
              </w:rPr>
              <w:t>Total n</w:t>
            </w:r>
            <w:r w:rsidR="00D64D7D" w:rsidRPr="00712358">
              <w:rPr>
                <w:rFonts w:eastAsia="Times New Roman" w:cs="Times New Roman"/>
                <w:b/>
                <w:color w:val="000000" w:themeColor="text1"/>
                <w:sz w:val="24"/>
                <w:szCs w:val="24"/>
                <w:lang w:eastAsia="en-GB"/>
              </w:rPr>
              <w:t>umber of cl</w:t>
            </w:r>
            <w:r w:rsidR="00D64D7D">
              <w:rPr>
                <w:rFonts w:eastAsia="Times New Roman" w:cs="Times New Roman"/>
                <w:b/>
                <w:color w:val="000000" w:themeColor="text1"/>
                <w:sz w:val="24"/>
                <w:szCs w:val="24"/>
                <w:lang w:eastAsia="en-GB"/>
              </w:rPr>
              <w:t xml:space="preserve">ients </w:t>
            </w:r>
            <w:r>
              <w:rPr>
                <w:rFonts w:eastAsia="Times New Roman" w:cs="Times New Roman"/>
                <w:b/>
                <w:color w:val="000000" w:themeColor="text1"/>
                <w:sz w:val="24"/>
                <w:szCs w:val="24"/>
                <w:lang w:eastAsia="en-GB"/>
              </w:rPr>
              <w:t xml:space="preserve">referred </w:t>
            </w:r>
            <w:r w:rsidR="009E0871">
              <w:rPr>
                <w:rFonts w:eastAsia="Times New Roman" w:cs="Times New Roman"/>
                <w:b/>
                <w:color w:val="000000" w:themeColor="text1"/>
                <w:sz w:val="24"/>
                <w:szCs w:val="24"/>
                <w:lang w:eastAsia="en-GB"/>
              </w:rPr>
              <w:t xml:space="preserve"> pre April 2015 – present </w:t>
            </w:r>
            <w:r w:rsidR="00073D1F">
              <w:rPr>
                <w:rFonts w:eastAsia="Times New Roman" w:cs="Times New Roman"/>
                <w:b/>
                <w:color w:val="000000" w:themeColor="text1"/>
                <w:sz w:val="24"/>
                <w:szCs w:val="24"/>
                <w:lang w:eastAsia="en-GB"/>
              </w:rPr>
              <w:t>and are</w:t>
            </w:r>
            <w:r>
              <w:rPr>
                <w:rFonts w:eastAsia="Times New Roman" w:cs="Times New Roman"/>
                <w:b/>
                <w:color w:val="000000" w:themeColor="text1"/>
                <w:sz w:val="24"/>
                <w:szCs w:val="24"/>
                <w:lang w:eastAsia="en-GB"/>
              </w:rPr>
              <w:t xml:space="preserve"> </w:t>
            </w:r>
            <w:r w:rsidR="00D64D7D">
              <w:rPr>
                <w:rFonts w:eastAsia="Times New Roman" w:cs="Times New Roman"/>
                <w:b/>
                <w:color w:val="000000" w:themeColor="text1"/>
                <w:sz w:val="24"/>
                <w:szCs w:val="24"/>
                <w:lang w:eastAsia="en-GB"/>
              </w:rPr>
              <w:t>currently being supported</w:t>
            </w:r>
            <w:r>
              <w:rPr>
                <w:rFonts w:eastAsia="Times New Roman" w:cs="Times New Roman"/>
                <w:b/>
                <w:color w:val="000000" w:themeColor="text1"/>
                <w:sz w:val="24"/>
                <w:szCs w:val="24"/>
                <w:lang w:eastAsia="en-GB"/>
              </w:rPr>
              <w:t>:</w:t>
            </w:r>
            <w:r w:rsidR="00D64D7D">
              <w:rPr>
                <w:rFonts w:eastAsia="Times New Roman" w:cs="Times New Roman"/>
                <w:b/>
                <w:color w:val="000000" w:themeColor="text1"/>
                <w:sz w:val="24"/>
                <w:szCs w:val="24"/>
                <w:lang w:eastAsia="en-GB"/>
              </w:rPr>
              <w:t xml:space="preserve">  </w:t>
            </w:r>
            <w:r w:rsidR="00D64D7D" w:rsidRPr="00712358">
              <w:rPr>
                <w:rFonts w:eastAsia="Times New Roman" w:cs="Times New Roman"/>
                <w:b/>
                <w:color w:val="000000" w:themeColor="text1"/>
                <w:sz w:val="24"/>
                <w:szCs w:val="24"/>
                <w:lang w:eastAsia="en-GB"/>
              </w:rPr>
              <w:t xml:space="preserve"> Breakdown by Support Type and Gender </w:t>
            </w:r>
          </w:p>
        </w:tc>
      </w:tr>
      <w:tr w:rsidR="00D64D7D" w:rsidRPr="00712358" w:rsidTr="00904E4F">
        <w:trPr>
          <w:trHeight w:val="283"/>
        </w:trPr>
        <w:tc>
          <w:tcPr>
            <w:tcW w:w="4644" w:type="dxa"/>
            <w:gridSpan w:val="3"/>
            <w:shd w:val="clear" w:color="auto" w:fill="F2DBDB" w:themeFill="accent2" w:themeFillTint="33"/>
          </w:tcPr>
          <w:p w:rsidR="00D64D7D" w:rsidRPr="00712358" w:rsidRDefault="00D64D7D" w:rsidP="000E12CF">
            <w:pPr>
              <w:spacing w:after="0" w:line="240" w:lineRule="auto"/>
              <w:jc w:val="center"/>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 xml:space="preserve">                                                                       </w:t>
            </w:r>
          </w:p>
        </w:tc>
        <w:tc>
          <w:tcPr>
            <w:tcW w:w="1418" w:type="dxa"/>
            <w:gridSpan w:val="2"/>
            <w:shd w:val="clear" w:color="auto" w:fill="F2DBDB" w:themeFill="accent2" w:themeFillTint="33"/>
          </w:tcPr>
          <w:p w:rsidR="00D64D7D" w:rsidRPr="00712358" w:rsidRDefault="00D64D7D" w:rsidP="000E12CF">
            <w:pPr>
              <w:spacing w:after="0" w:line="240" w:lineRule="auto"/>
              <w:jc w:val="center"/>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Female</w:t>
            </w:r>
          </w:p>
        </w:tc>
        <w:tc>
          <w:tcPr>
            <w:tcW w:w="1134" w:type="dxa"/>
            <w:shd w:val="clear" w:color="auto" w:fill="F2DBDB" w:themeFill="accent2" w:themeFillTint="33"/>
          </w:tcPr>
          <w:p w:rsidR="00D64D7D" w:rsidRPr="00712358" w:rsidRDefault="00D64D7D" w:rsidP="000E12CF">
            <w:pPr>
              <w:spacing w:after="0" w:line="240" w:lineRule="auto"/>
              <w:jc w:val="center"/>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Male</w:t>
            </w:r>
          </w:p>
        </w:tc>
        <w:tc>
          <w:tcPr>
            <w:tcW w:w="1559" w:type="dxa"/>
            <w:gridSpan w:val="2"/>
            <w:shd w:val="clear" w:color="auto" w:fill="F2DBDB" w:themeFill="accent2" w:themeFillTint="33"/>
          </w:tcPr>
          <w:p w:rsidR="00D64D7D" w:rsidRPr="00712358" w:rsidRDefault="00D64D7D" w:rsidP="000E12CF">
            <w:pPr>
              <w:spacing w:after="0" w:line="240" w:lineRule="auto"/>
              <w:jc w:val="center"/>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Transgender</w:t>
            </w:r>
          </w:p>
        </w:tc>
        <w:tc>
          <w:tcPr>
            <w:tcW w:w="1418" w:type="dxa"/>
            <w:tcBorders>
              <w:top w:val="single" w:sz="4" w:space="0" w:color="auto"/>
              <w:bottom w:val="single" w:sz="4" w:space="0" w:color="auto"/>
            </w:tcBorders>
            <w:shd w:val="clear" w:color="auto" w:fill="F2DBDB" w:themeFill="accent2" w:themeFillTint="33"/>
          </w:tcPr>
          <w:p w:rsidR="00D64D7D" w:rsidRPr="00712358" w:rsidRDefault="00D64D7D" w:rsidP="000E12CF">
            <w:pPr>
              <w:spacing w:after="0" w:line="240" w:lineRule="auto"/>
              <w:jc w:val="center"/>
              <w:rPr>
                <w:rFonts w:eastAsia="Times New Roman" w:cs="Times New Roman"/>
                <w:b/>
                <w:color w:val="000000" w:themeColor="text1"/>
                <w:sz w:val="28"/>
                <w:szCs w:val="28"/>
                <w:lang w:eastAsia="en-GB"/>
              </w:rPr>
            </w:pPr>
            <w:r w:rsidRPr="00712358">
              <w:rPr>
                <w:rFonts w:eastAsia="Times New Roman" w:cs="Times New Roman"/>
                <w:b/>
                <w:color w:val="000000" w:themeColor="text1"/>
                <w:sz w:val="28"/>
                <w:szCs w:val="28"/>
                <w:lang w:eastAsia="en-GB"/>
              </w:rPr>
              <w:t>Total</w:t>
            </w:r>
          </w:p>
        </w:tc>
      </w:tr>
      <w:tr w:rsidR="00741E5C" w:rsidRPr="00712358" w:rsidTr="00904E4F">
        <w:trPr>
          <w:trHeight w:val="283"/>
        </w:trPr>
        <w:tc>
          <w:tcPr>
            <w:tcW w:w="4644" w:type="dxa"/>
            <w:gridSpan w:val="3"/>
            <w:shd w:val="clear" w:color="auto" w:fill="auto"/>
          </w:tcPr>
          <w:p w:rsidR="00741E5C" w:rsidRPr="00712358" w:rsidRDefault="00741E5C" w:rsidP="000E12CF">
            <w:pPr>
              <w:spacing w:after="0" w:line="240" w:lineRule="auto"/>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 xml:space="preserve">Outreach Support </w:t>
            </w:r>
          </w:p>
        </w:tc>
        <w:tc>
          <w:tcPr>
            <w:tcW w:w="1418" w:type="dxa"/>
            <w:gridSpan w:val="2"/>
            <w:tcBorders>
              <w:top w:val="single" w:sz="4" w:space="0" w:color="auto"/>
            </w:tcBorders>
            <w:shd w:val="clear" w:color="auto" w:fill="auto"/>
            <w:vAlign w:val="center"/>
          </w:tcPr>
          <w:p w:rsidR="00741E5C" w:rsidRPr="0025798A" w:rsidRDefault="00A86DB8" w:rsidP="00CE447A">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1551</w:t>
            </w:r>
          </w:p>
        </w:tc>
        <w:tc>
          <w:tcPr>
            <w:tcW w:w="1134" w:type="dxa"/>
            <w:tcBorders>
              <w:top w:val="single" w:sz="4" w:space="0" w:color="auto"/>
            </w:tcBorders>
            <w:shd w:val="clear" w:color="auto" w:fill="auto"/>
            <w:vAlign w:val="center"/>
          </w:tcPr>
          <w:p w:rsidR="00741E5C" w:rsidRPr="0025798A" w:rsidRDefault="00A86DB8" w:rsidP="00CE447A">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553</w:t>
            </w:r>
          </w:p>
        </w:tc>
        <w:tc>
          <w:tcPr>
            <w:tcW w:w="1559" w:type="dxa"/>
            <w:gridSpan w:val="2"/>
            <w:tcBorders>
              <w:top w:val="single" w:sz="4" w:space="0" w:color="auto"/>
            </w:tcBorders>
            <w:shd w:val="clear" w:color="auto" w:fill="auto"/>
            <w:vAlign w:val="center"/>
          </w:tcPr>
          <w:p w:rsidR="00741E5C" w:rsidRPr="0025798A" w:rsidRDefault="00A86DB8" w:rsidP="00234FDC">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5</w:t>
            </w:r>
          </w:p>
        </w:tc>
        <w:tc>
          <w:tcPr>
            <w:tcW w:w="1418" w:type="dxa"/>
            <w:tcBorders>
              <w:top w:val="single" w:sz="4" w:space="0" w:color="auto"/>
              <w:bottom w:val="single" w:sz="4" w:space="0" w:color="auto"/>
            </w:tcBorders>
            <w:shd w:val="clear" w:color="auto" w:fill="auto"/>
            <w:vAlign w:val="center"/>
          </w:tcPr>
          <w:p w:rsidR="00741E5C" w:rsidRPr="0025798A" w:rsidRDefault="00A86DB8" w:rsidP="00234FDC">
            <w:pPr>
              <w:spacing w:after="0" w:line="240" w:lineRule="auto"/>
              <w:jc w:val="center"/>
              <w:rPr>
                <w:rFonts w:eastAsia="Times New Roman" w:cs="Times New Roman"/>
                <w:b/>
                <w:color w:val="FF0000"/>
                <w:sz w:val="28"/>
                <w:szCs w:val="28"/>
                <w:lang w:eastAsia="en-GB"/>
              </w:rPr>
            </w:pPr>
            <w:r>
              <w:rPr>
                <w:rFonts w:eastAsia="Times New Roman" w:cs="Times New Roman"/>
                <w:b/>
                <w:sz w:val="28"/>
                <w:szCs w:val="28"/>
                <w:lang w:eastAsia="en-GB"/>
              </w:rPr>
              <w:t>2109</w:t>
            </w:r>
          </w:p>
        </w:tc>
      </w:tr>
      <w:tr w:rsidR="00741E5C" w:rsidRPr="00712358" w:rsidTr="00904E4F">
        <w:trPr>
          <w:trHeight w:val="283"/>
        </w:trPr>
        <w:tc>
          <w:tcPr>
            <w:tcW w:w="4644" w:type="dxa"/>
            <w:gridSpan w:val="3"/>
            <w:shd w:val="clear" w:color="auto" w:fill="auto"/>
          </w:tcPr>
          <w:p w:rsidR="00741E5C" w:rsidRPr="00712358" w:rsidRDefault="00741E5C" w:rsidP="000E12CF">
            <w:pPr>
              <w:spacing w:after="0" w:line="240" w:lineRule="auto"/>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Safe House Accommodation</w:t>
            </w:r>
          </w:p>
        </w:tc>
        <w:tc>
          <w:tcPr>
            <w:tcW w:w="1418" w:type="dxa"/>
            <w:gridSpan w:val="2"/>
            <w:shd w:val="clear" w:color="auto" w:fill="auto"/>
            <w:vAlign w:val="center"/>
          </w:tcPr>
          <w:p w:rsidR="00741E5C" w:rsidRPr="0025798A" w:rsidRDefault="00A86DB8" w:rsidP="00821C30">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199</w:t>
            </w:r>
          </w:p>
        </w:tc>
        <w:tc>
          <w:tcPr>
            <w:tcW w:w="1134" w:type="dxa"/>
            <w:shd w:val="clear" w:color="auto" w:fill="auto"/>
            <w:vAlign w:val="center"/>
          </w:tcPr>
          <w:p w:rsidR="00741E5C" w:rsidRPr="0025798A" w:rsidRDefault="00A86DB8" w:rsidP="00234FDC">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231</w:t>
            </w:r>
          </w:p>
        </w:tc>
        <w:tc>
          <w:tcPr>
            <w:tcW w:w="1559" w:type="dxa"/>
            <w:gridSpan w:val="2"/>
            <w:shd w:val="clear" w:color="auto" w:fill="auto"/>
            <w:vAlign w:val="center"/>
          </w:tcPr>
          <w:p w:rsidR="00741E5C" w:rsidRPr="0025798A" w:rsidRDefault="00821C30" w:rsidP="00234FDC">
            <w:pPr>
              <w:spacing w:after="0" w:line="240" w:lineRule="auto"/>
              <w:jc w:val="center"/>
              <w:rPr>
                <w:rFonts w:eastAsia="Times New Roman" w:cs="Times New Roman"/>
                <w:color w:val="FF0000"/>
                <w:sz w:val="24"/>
                <w:szCs w:val="24"/>
                <w:lang w:eastAsia="en-GB"/>
              </w:rPr>
            </w:pPr>
            <w:r>
              <w:rPr>
                <w:rFonts w:eastAsia="Times New Roman" w:cs="Times New Roman"/>
                <w:sz w:val="24"/>
                <w:szCs w:val="24"/>
                <w:lang w:eastAsia="en-GB"/>
              </w:rPr>
              <w:t>2</w:t>
            </w:r>
          </w:p>
        </w:tc>
        <w:tc>
          <w:tcPr>
            <w:tcW w:w="1418" w:type="dxa"/>
            <w:tcBorders>
              <w:top w:val="single" w:sz="4" w:space="0" w:color="auto"/>
              <w:bottom w:val="single" w:sz="4" w:space="0" w:color="auto"/>
            </w:tcBorders>
            <w:shd w:val="clear" w:color="auto" w:fill="auto"/>
            <w:vAlign w:val="center"/>
          </w:tcPr>
          <w:p w:rsidR="00741E5C" w:rsidRPr="0025798A" w:rsidRDefault="00A86DB8" w:rsidP="00234FDC">
            <w:pPr>
              <w:spacing w:after="0" w:line="240" w:lineRule="auto"/>
              <w:jc w:val="center"/>
              <w:rPr>
                <w:rFonts w:eastAsia="Times New Roman" w:cs="Times New Roman"/>
                <w:b/>
                <w:color w:val="FF0000"/>
                <w:sz w:val="28"/>
                <w:szCs w:val="28"/>
                <w:lang w:eastAsia="en-GB"/>
              </w:rPr>
            </w:pPr>
            <w:r>
              <w:rPr>
                <w:rFonts w:eastAsia="Times New Roman" w:cs="Times New Roman"/>
                <w:b/>
                <w:sz w:val="28"/>
                <w:szCs w:val="28"/>
                <w:lang w:eastAsia="en-GB"/>
              </w:rPr>
              <w:t>432</w:t>
            </w:r>
          </w:p>
        </w:tc>
      </w:tr>
      <w:tr w:rsidR="00712358" w:rsidRPr="00712358" w:rsidTr="00904E4F">
        <w:trPr>
          <w:trHeight w:val="20"/>
        </w:trPr>
        <w:tc>
          <w:tcPr>
            <w:tcW w:w="10173" w:type="dxa"/>
            <w:gridSpan w:val="9"/>
            <w:shd w:val="clear" w:color="auto" w:fill="F2DBDB" w:themeFill="accent2" w:themeFillTint="33"/>
          </w:tcPr>
          <w:p w:rsidR="00405807" w:rsidRPr="00712358" w:rsidRDefault="00405807" w:rsidP="00D82552">
            <w:pPr>
              <w:spacing w:after="0" w:line="240" w:lineRule="auto"/>
              <w:rPr>
                <w:rFonts w:eastAsia="Times New Roman" w:cs="Times New Roman"/>
                <w:color w:val="000000" w:themeColor="text1"/>
                <w:sz w:val="24"/>
                <w:szCs w:val="24"/>
                <w:lang w:eastAsia="en-GB"/>
              </w:rPr>
            </w:pPr>
            <w:r w:rsidRPr="00712358">
              <w:rPr>
                <w:b/>
                <w:color w:val="000000" w:themeColor="text1"/>
                <w:sz w:val="24"/>
                <w:szCs w:val="24"/>
              </w:rPr>
              <w:t>Number of clients ‘moved on’ from the service to date</w:t>
            </w:r>
            <w:r w:rsidR="00D64D7D">
              <w:rPr>
                <w:b/>
                <w:color w:val="000000" w:themeColor="text1"/>
                <w:sz w:val="24"/>
                <w:szCs w:val="24"/>
              </w:rPr>
              <w:t xml:space="preserve"> from April 201</w:t>
            </w:r>
            <w:r w:rsidR="00D82552">
              <w:rPr>
                <w:b/>
                <w:color w:val="000000" w:themeColor="text1"/>
                <w:sz w:val="24"/>
                <w:szCs w:val="24"/>
              </w:rPr>
              <w:t>5</w:t>
            </w:r>
            <w:r w:rsidRPr="00712358">
              <w:rPr>
                <w:b/>
                <w:color w:val="000000" w:themeColor="text1"/>
                <w:sz w:val="24"/>
                <w:szCs w:val="24"/>
              </w:rPr>
              <w:t>: Breakdown by Gender</w:t>
            </w:r>
          </w:p>
        </w:tc>
      </w:tr>
      <w:tr w:rsidR="00712358" w:rsidRPr="00712358" w:rsidTr="00904E4F">
        <w:trPr>
          <w:trHeight w:val="525"/>
        </w:trPr>
        <w:tc>
          <w:tcPr>
            <w:tcW w:w="4644" w:type="dxa"/>
            <w:gridSpan w:val="3"/>
            <w:vMerge w:val="restart"/>
            <w:shd w:val="clear" w:color="auto" w:fill="F2DBDB" w:themeFill="accent2" w:themeFillTint="33"/>
          </w:tcPr>
          <w:p w:rsidR="00A86DB8" w:rsidRDefault="00405807" w:rsidP="00C44341">
            <w:pPr>
              <w:spacing w:after="0" w:line="240" w:lineRule="auto"/>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 xml:space="preserve">                                                               </w:t>
            </w:r>
          </w:p>
          <w:p w:rsidR="00405807" w:rsidRPr="00A86DB8" w:rsidRDefault="00A86DB8" w:rsidP="00A86DB8">
            <w:pPr>
              <w:tabs>
                <w:tab w:val="left" w:pos="3076"/>
              </w:tabs>
              <w:rPr>
                <w:rFonts w:eastAsia="Times New Roman" w:cs="Times New Roman"/>
                <w:sz w:val="24"/>
                <w:szCs w:val="24"/>
                <w:lang w:eastAsia="en-GB"/>
              </w:rPr>
            </w:pPr>
            <w:r>
              <w:rPr>
                <w:rFonts w:eastAsia="Times New Roman" w:cs="Times New Roman"/>
                <w:sz w:val="24"/>
                <w:szCs w:val="24"/>
                <w:lang w:eastAsia="en-GB"/>
              </w:rPr>
              <w:tab/>
            </w:r>
          </w:p>
        </w:tc>
        <w:tc>
          <w:tcPr>
            <w:tcW w:w="1418" w:type="dxa"/>
            <w:gridSpan w:val="2"/>
            <w:shd w:val="clear" w:color="auto" w:fill="F2DBDB" w:themeFill="accent2" w:themeFillTint="33"/>
          </w:tcPr>
          <w:p w:rsidR="00405807" w:rsidRPr="00712358" w:rsidRDefault="00405807" w:rsidP="00527809">
            <w:pPr>
              <w:spacing w:after="0" w:line="240" w:lineRule="auto"/>
              <w:jc w:val="center"/>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Female</w:t>
            </w:r>
          </w:p>
        </w:tc>
        <w:tc>
          <w:tcPr>
            <w:tcW w:w="1134" w:type="dxa"/>
            <w:shd w:val="clear" w:color="auto" w:fill="F2DBDB" w:themeFill="accent2" w:themeFillTint="33"/>
          </w:tcPr>
          <w:p w:rsidR="00405807" w:rsidRPr="00712358" w:rsidRDefault="00405807" w:rsidP="00E12159">
            <w:pPr>
              <w:spacing w:after="0" w:line="240" w:lineRule="auto"/>
              <w:jc w:val="center"/>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Male</w:t>
            </w:r>
          </w:p>
        </w:tc>
        <w:tc>
          <w:tcPr>
            <w:tcW w:w="1559" w:type="dxa"/>
            <w:gridSpan w:val="2"/>
            <w:shd w:val="clear" w:color="auto" w:fill="F2DBDB" w:themeFill="accent2" w:themeFillTint="33"/>
          </w:tcPr>
          <w:p w:rsidR="00405807" w:rsidRPr="00712358" w:rsidRDefault="00405807" w:rsidP="00E12159">
            <w:pPr>
              <w:spacing w:after="0" w:line="240" w:lineRule="auto"/>
              <w:jc w:val="center"/>
              <w:rPr>
                <w:rFonts w:eastAsia="Times New Roman" w:cs="Times New Roman"/>
                <w:b/>
                <w:color w:val="000000" w:themeColor="text1"/>
                <w:sz w:val="24"/>
                <w:szCs w:val="24"/>
                <w:lang w:eastAsia="en-GB"/>
              </w:rPr>
            </w:pPr>
            <w:r w:rsidRPr="00712358">
              <w:rPr>
                <w:rFonts w:eastAsia="Times New Roman" w:cs="Times New Roman"/>
                <w:b/>
                <w:color w:val="000000" w:themeColor="text1"/>
                <w:sz w:val="24"/>
                <w:szCs w:val="24"/>
                <w:lang w:eastAsia="en-GB"/>
              </w:rPr>
              <w:t>Transgender</w:t>
            </w:r>
          </w:p>
        </w:tc>
        <w:tc>
          <w:tcPr>
            <w:tcW w:w="1418" w:type="dxa"/>
            <w:tcBorders>
              <w:top w:val="single" w:sz="4" w:space="0" w:color="auto"/>
              <w:bottom w:val="single" w:sz="4" w:space="0" w:color="auto"/>
            </w:tcBorders>
            <w:shd w:val="clear" w:color="auto" w:fill="F2DBDB" w:themeFill="accent2" w:themeFillTint="33"/>
          </w:tcPr>
          <w:p w:rsidR="00405807" w:rsidRPr="00712358" w:rsidRDefault="00405807" w:rsidP="00E12159">
            <w:pPr>
              <w:spacing w:after="0" w:line="240" w:lineRule="auto"/>
              <w:jc w:val="center"/>
              <w:rPr>
                <w:rFonts w:eastAsia="Times New Roman" w:cs="Times New Roman"/>
                <w:b/>
                <w:color w:val="000000" w:themeColor="text1"/>
                <w:sz w:val="28"/>
                <w:szCs w:val="28"/>
                <w:lang w:eastAsia="en-GB"/>
              </w:rPr>
            </w:pPr>
            <w:r w:rsidRPr="00712358">
              <w:rPr>
                <w:rFonts w:eastAsia="Times New Roman" w:cs="Times New Roman"/>
                <w:b/>
                <w:color w:val="000000" w:themeColor="text1"/>
                <w:sz w:val="28"/>
                <w:szCs w:val="28"/>
                <w:lang w:eastAsia="en-GB"/>
              </w:rPr>
              <w:t>Total</w:t>
            </w:r>
          </w:p>
        </w:tc>
      </w:tr>
      <w:tr w:rsidR="00712358" w:rsidRPr="00712358" w:rsidTr="00C44341">
        <w:trPr>
          <w:trHeight w:val="263"/>
        </w:trPr>
        <w:tc>
          <w:tcPr>
            <w:tcW w:w="4644" w:type="dxa"/>
            <w:gridSpan w:val="3"/>
            <w:vMerge/>
            <w:shd w:val="clear" w:color="auto" w:fill="F2DBDB" w:themeFill="accent2" w:themeFillTint="33"/>
          </w:tcPr>
          <w:p w:rsidR="00405807" w:rsidRPr="00712358" w:rsidRDefault="00405807" w:rsidP="00E34168">
            <w:pPr>
              <w:rPr>
                <w:b/>
                <w:color w:val="000000" w:themeColor="text1"/>
                <w:sz w:val="24"/>
                <w:szCs w:val="24"/>
              </w:rPr>
            </w:pPr>
          </w:p>
        </w:tc>
        <w:tc>
          <w:tcPr>
            <w:tcW w:w="1418" w:type="dxa"/>
            <w:gridSpan w:val="2"/>
            <w:shd w:val="clear" w:color="auto" w:fill="auto"/>
          </w:tcPr>
          <w:p w:rsidR="00405807" w:rsidRPr="006620B6" w:rsidRDefault="00A86DB8" w:rsidP="00320330">
            <w:pPr>
              <w:jc w:val="center"/>
            </w:pPr>
            <w:r>
              <w:t>1819</w:t>
            </w:r>
          </w:p>
        </w:tc>
        <w:tc>
          <w:tcPr>
            <w:tcW w:w="1134" w:type="dxa"/>
            <w:shd w:val="clear" w:color="auto" w:fill="auto"/>
          </w:tcPr>
          <w:p w:rsidR="00405807" w:rsidRPr="006620B6" w:rsidRDefault="00A86DB8" w:rsidP="00320330">
            <w:pPr>
              <w:jc w:val="center"/>
            </w:pPr>
            <w:r>
              <w:t>1553</w:t>
            </w:r>
          </w:p>
        </w:tc>
        <w:tc>
          <w:tcPr>
            <w:tcW w:w="1559" w:type="dxa"/>
            <w:gridSpan w:val="2"/>
            <w:shd w:val="clear" w:color="auto" w:fill="auto"/>
          </w:tcPr>
          <w:p w:rsidR="00405807" w:rsidRPr="006620B6" w:rsidRDefault="00A86DB8" w:rsidP="004B6DB7">
            <w:pPr>
              <w:jc w:val="center"/>
            </w:pPr>
            <w:r>
              <w:rPr>
                <w:rFonts w:eastAsia="Times New Roman" w:cs="Times New Roman"/>
                <w:sz w:val="24"/>
                <w:szCs w:val="24"/>
                <w:lang w:eastAsia="en-GB"/>
              </w:rPr>
              <w:t>10</w:t>
            </w:r>
          </w:p>
        </w:tc>
        <w:tc>
          <w:tcPr>
            <w:tcW w:w="1418" w:type="dxa"/>
            <w:tcBorders>
              <w:top w:val="single" w:sz="4" w:space="0" w:color="auto"/>
              <w:bottom w:val="single" w:sz="4" w:space="0" w:color="auto"/>
            </w:tcBorders>
            <w:shd w:val="clear" w:color="auto" w:fill="auto"/>
          </w:tcPr>
          <w:p w:rsidR="00C44341" w:rsidRPr="006620B6" w:rsidRDefault="00A86DB8" w:rsidP="00320330">
            <w:pPr>
              <w:jc w:val="center"/>
              <w:rPr>
                <w:b/>
                <w:sz w:val="28"/>
                <w:szCs w:val="28"/>
              </w:rPr>
            </w:pPr>
            <w:r>
              <w:rPr>
                <w:b/>
                <w:sz w:val="28"/>
                <w:szCs w:val="28"/>
              </w:rPr>
              <w:t>3382</w:t>
            </w:r>
          </w:p>
        </w:tc>
      </w:tr>
    </w:tbl>
    <w:p w:rsidR="000E633E" w:rsidRPr="00A90B3F" w:rsidRDefault="00D318E5" w:rsidP="000E633E">
      <w:pPr>
        <w:autoSpaceDE w:val="0"/>
        <w:autoSpaceDN w:val="0"/>
        <w:adjustRightInd w:val="0"/>
        <w:spacing w:after="0" w:line="240" w:lineRule="auto"/>
        <w:rPr>
          <w:rFonts w:cs="Arial"/>
          <w:color w:val="000000"/>
          <w:sz w:val="18"/>
          <w:szCs w:val="18"/>
        </w:rPr>
      </w:pPr>
      <w:r w:rsidRPr="00A90B3F">
        <w:rPr>
          <w:rFonts w:cs="Arial"/>
          <w:color w:val="000000"/>
          <w:sz w:val="18"/>
          <w:szCs w:val="18"/>
        </w:rPr>
        <w:t xml:space="preserve">Some data </w:t>
      </w:r>
      <w:r w:rsidR="000E633E" w:rsidRPr="00A90B3F">
        <w:rPr>
          <w:rFonts w:cs="Arial"/>
          <w:color w:val="000000"/>
          <w:sz w:val="18"/>
          <w:szCs w:val="18"/>
        </w:rPr>
        <w:t>can vary on a daily basis and are only correct at the time the information is collated</w:t>
      </w:r>
      <w:r w:rsidR="00A80AA3" w:rsidRPr="00A90B3F">
        <w:rPr>
          <w:rFonts w:cs="Arial"/>
          <w:color w:val="000000"/>
          <w:sz w:val="18"/>
          <w:szCs w:val="18"/>
        </w:rPr>
        <w:t xml:space="preserve">, e.g. Number of clients ‘moved on’ from the service, as client’s circumstances change and records are regularly being updated.  </w:t>
      </w:r>
      <w:r w:rsidR="000E633E" w:rsidRPr="00A90B3F">
        <w:rPr>
          <w:rFonts w:cs="Arial"/>
          <w:color w:val="000000"/>
          <w:sz w:val="18"/>
          <w:szCs w:val="18"/>
        </w:rPr>
        <w:t xml:space="preserve">  </w:t>
      </w:r>
    </w:p>
    <w:p w:rsidR="00D318E5" w:rsidRPr="00A90B3F" w:rsidRDefault="00D318E5" w:rsidP="000E633E">
      <w:pPr>
        <w:autoSpaceDE w:val="0"/>
        <w:autoSpaceDN w:val="0"/>
        <w:adjustRightInd w:val="0"/>
        <w:spacing w:after="0" w:line="240" w:lineRule="auto"/>
        <w:rPr>
          <w:rFonts w:cs="Arial"/>
          <w:color w:val="000000"/>
          <w:sz w:val="18"/>
          <w:szCs w:val="18"/>
        </w:rPr>
      </w:pPr>
    </w:p>
    <w:p w:rsidR="000E633E" w:rsidRPr="00A90B3F" w:rsidRDefault="000E633E" w:rsidP="000E633E">
      <w:pPr>
        <w:autoSpaceDE w:val="0"/>
        <w:autoSpaceDN w:val="0"/>
        <w:adjustRightInd w:val="0"/>
        <w:spacing w:after="0" w:line="240" w:lineRule="auto"/>
        <w:rPr>
          <w:rFonts w:cs="Arial"/>
          <w:color w:val="000000"/>
          <w:sz w:val="18"/>
          <w:szCs w:val="18"/>
        </w:rPr>
      </w:pPr>
      <w:r w:rsidRPr="00A90B3F">
        <w:rPr>
          <w:rFonts w:cs="Arial"/>
          <w:color w:val="000000"/>
          <w:sz w:val="18"/>
          <w:szCs w:val="18"/>
        </w:rPr>
        <w:t xml:space="preserve">Data published by The Salvation Army will differ to National Referral Mechanism (NRM) data which is published by the </w:t>
      </w:r>
      <w:r w:rsidR="00CA3897">
        <w:rPr>
          <w:rFonts w:cs="Arial"/>
          <w:color w:val="000000"/>
          <w:sz w:val="18"/>
          <w:szCs w:val="18"/>
        </w:rPr>
        <w:t>Modern Slavery Human Trafficking Unit</w:t>
      </w:r>
      <w:r w:rsidRPr="00A90B3F">
        <w:rPr>
          <w:rFonts w:cs="Arial"/>
          <w:color w:val="000000"/>
          <w:sz w:val="18"/>
          <w:szCs w:val="18"/>
        </w:rPr>
        <w:t xml:space="preserve"> and available on the NCA website. This is because data published by </w:t>
      </w:r>
      <w:r w:rsidR="00F70DC2">
        <w:rPr>
          <w:rFonts w:cs="Arial"/>
          <w:color w:val="000000"/>
          <w:sz w:val="18"/>
          <w:szCs w:val="18"/>
        </w:rPr>
        <w:t xml:space="preserve">MSHTU </w:t>
      </w:r>
      <w:r w:rsidRPr="00A90B3F">
        <w:rPr>
          <w:rFonts w:cs="Arial"/>
          <w:color w:val="000000"/>
          <w:sz w:val="18"/>
          <w:szCs w:val="18"/>
        </w:rPr>
        <w:t xml:space="preserve">includes all individuals referred into the NRM, i.e. adults and children, </w:t>
      </w:r>
      <w:r w:rsidR="007A4DA0" w:rsidRPr="00A90B3F">
        <w:rPr>
          <w:rFonts w:cs="Arial"/>
          <w:color w:val="000000"/>
          <w:sz w:val="18"/>
          <w:szCs w:val="18"/>
        </w:rPr>
        <w:t xml:space="preserve">from </w:t>
      </w:r>
      <w:r w:rsidRPr="00A90B3F">
        <w:rPr>
          <w:rFonts w:cs="Arial"/>
          <w:color w:val="000000"/>
          <w:sz w:val="18"/>
          <w:szCs w:val="18"/>
        </w:rPr>
        <w:t xml:space="preserve">across the UK. </w:t>
      </w:r>
    </w:p>
    <w:p w:rsidR="000E633E" w:rsidRPr="00A90B3F" w:rsidRDefault="000E633E" w:rsidP="000E633E">
      <w:pPr>
        <w:autoSpaceDE w:val="0"/>
        <w:autoSpaceDN w:val="0"/>
        <w:adjustRightInd w:val="0"/>
        <w:spacing w:after="0" w:line="240" w:lineRule="auto"/>
        <w:rPr>
          <w:rFonts w:cs="Arial"/>
          <w:color w:val="000000"/>
          <w:sz w:val="18"/>
          <w:szCs w:val="18"/>
        </w:rPr>
      </w:pPr>
    </w:p>
    <w:p w:rsidR="000E633E" w:rsidRPr="00A90B3F" w:rsidRDefault="000E633E" w:rsidP="000E633E">
      <w:pPr>
        <w:autoSpaceDE w:val="0"/>
        <w:autoSpaceDN w:val="0"/>
        <w:adjustRightInd w:val="0"/>
        <w:spacing w:after="0" w:line="240" w:lineRule="auto"/>
        <w:rPr>
          <w:rFonts w:cs="Arial"/>
          <w:i/>
          <w:iCs/>
          <w:color w:val="000000"/>
          <w:sz w:val="18"/>
          <w:szCs w:val="18"/>
        </w:rPr>
      </w:pPr>
      <w:r w:rsidRPr="00A90B3F">
        <w:rPr>
          <w:rFonts w:cs="Arial"/>
          <w:color w:val="000000"/>
          <w:sz w:val="18"/>
          <w:szCs w:val="18"/>
        </w:rPr>
        <w:t xml:space="preserve">The Salvation Army Contract only provides for support to adult victims identified in England and Wales. Therefore, data published by The Salvation Army relates only to those adults referred into the NRM </w:t>
      </w:r>
      <w:r w:rsidRPr="00A90B3F">
        <w:rPr>
          <w:rFonts w:cs="Arial"/>
          <w:i/>
          <w:iCs/>
          <w:color w:val="000000"/>
          <w:sz w:val="18"/>
          <w:szCs w:val="18"/>
        </w:rPr>
        <w:t xml:space="preserve">who also give consent to a referral for support being made to The Salvation Army.   </w:t>
      </w:r>
    </w:p>
    <w:p w:rsidR="000E633E" w:rsidRPr="00A90B3F" w:rsidRDefault="000E633E" w:rsidP="000E633E">
      <w:pPr>
        <w:autoSpaceDE w:val="0"/>
        <w:autoSpaceDN w:val="0"/>
        <w:adjustRightInd w:val="0"/>
        <w:spacing w:after="0" w:line="240" w:lineRule="auto"/>
        <w:rPr>
          <w:rFonts w:cs="Arial"/>
          <w:i/>
          <w:iCs/>
          <w:color w:val="000000"/>
          <w:sz w:val="18"/>
          <w:szCs w:val="18"/>
        </w:rPr>
      </w:pPr>
      <w:r w:rsidRPr="00A90B3F">
        <w:rPr>
          <w:rFonts w:cs="Arial"/>
          <w:i/>
          <w:iCs/>
          <w:color w:val="000000"/>
          <w:sz w:val="18"/>
          <w:szCs w:val="18"/>
        </w:rPr>
        <w:t xml:space="preserve"> </w:t>
      </w:r>
    </w:p>
    <w:p w:rsidR="00BC2223" w:rsidRPr="00A90B3F" w:rsidRDefault="000E633E" w:rsidP="00D318E5">
      <w:pPr>
        <w:autoSpaceDE w:val="0"/>
        <w:autoSpaceDN w:val="0"/>
        <w:adjustRightInd w:val="0"/>
        <w:spacing w:after="0" w:line="240" w:lineRule="auto"/>
        <w:rPr>
          <w:rFonts w:eastAsia="Times New Roman" w:cs="Times New Roman"/>
          <w:sz w:val="18"/>
          <w:szCs w:val="18"/>
          <w:lang w:eastAsia="en-GB"/>
        </w:rPr>
      </w:pPr>
      <w:r w:rsidRPr="00A90B3F">
        <w:rPr>
          <w:rFonts w:cs="Arial"/>
          <w:color w:val="000000"/>
          <w:sz w:val="18"/>
          <w:szCs w:val="18"/>
        </w:rPr>
        <w:t xml:space="preserve">Some adults who enter the NRM decline an offer of support from The Salvation Army as there are other organisations that can also assist them. Alternatively, some are accommodated by friends or family or choose to immediately return to their country of origin once escaping or being rescued from the exploitative situation. </w:t>
      </w:r>
    </w:p>
    <w:sectPr w:rsidR="00BC2223" w:rsidRPr="00A90B3F" w:rsidSect="00201211">
      <w:footnotePr>
        <w:pos w:val="beneathText"/>
      </w:footnotePr>
      <w:pgSz w:w="11906" w:h="16838"/>
      <w:pgMar w:top="902" w:right="1418" w:bottom="99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23"/>
    <w:rsid w:val="000061E2"/>
    <w:rsid w:val="000179CB"/>
    <w:rsid w:val="00022863"/>
    <w:rsid w:val="000423A3"/>
    <w:rsid w:val="00071B86"/>
    <w:rsid w:val="00073D1F"/>
    <w:rsid w:val="000756E4"/>
    <w:rsid w:val="00080E18"/>
    <w:rsid w:val="00091CEA"/>
    <w:rsid w:val="000A6117"/>
    <w:rsid w:val="000B61C5"/>
    <w:rsid w:val="000C39C6"/>
    <w:rsid w:val="000C500F"/>
    <w:rsid w:val="000E1855"/>
    <w:rsid w:val="000E633E"/>
    <w:rsid w:val="000F04C5"/>
    <w:rsid w:val="001259D1"/>
    <w:rsid w:val="001331CD"/>
    <w:rsid w:val="00135ECA"/>
    <w:rsid w:val="00141A72"/>
    <w:rsid w:val="00144E55"/>
    <w:rsid w:val="00155810"/>
    <w:rsid w:val="0016717A"/>
    <w:rsid w:val="00167FCF"/>
    <w:rsid w:val="001759A5"/>
    <w:rsid w:val="0018153A"/>
    <w:rsid w:val="001855F5"/>
    <w:rsid w:val="001932E0"/>
    <w:rsid w:val="001A1CAD"/>
    <w:rsid w:val="001A5A34"/>
    <w:rsid w:val="001B2586"/>
    <w:rsid w:val="001C1A36"/>
    <w:rsid w:val="001E4F1F"/>
    <w:rsid w:val="001F254F"/>
    <w:rsid w:val="002024D3"/>
    <w:rsid w:val="002027E2"/>
    <w:rsid w:val="00203738"/>
    <w:rsid w:val="00205FAA"/>
    <w:rsid w:val="00216FF6"/>
    <w:rsid w:val="0024219D"/>
    <w:rsid w:val="002426B2"/>
    <w:rsid w:val="00247A6E"/>
    <w:rsid w:val="0025798A"/>
    <w:rsid w:val="0027352F"/>
    <w:rsid w:val="00294742"/>
    <w:rsid w:val="0029799B"/>
    <w:rsid w:val="002A0430"/>
    <w:rsid w:val="002B18FB"/>
    <w:rsid w:val="002C3372"/>
    <w:rsid w:val="002E6505"/>
    <w:rsid w:val="002F58A7"/>
    <w:rsid w:val="003047E7"/>
    <w:rsid w:val="00320330"/>
    <w:rsid w:val="0032408C"/>
    <w:rsid w:val="00334693"/>
    <w:rsid w:val="00347235"/>
    <w:rsid w:val="00357BAF"/>
    <w:rsid w:val="00365D9E"/>
    <w:rsid w:val="00367120"/>
    <w:rsid w:val="00380FE2"/>
    <w:rsid w:val="00397198"/>
    <w:rsid w:val="003A366C"/>
    <w:rsid w:val="003C0D94"/>
    <w:rsid w:val="003C2F63"/>
    <w:rsid w:val="003C3B17"/>
    <w:rsid w:val="003D201E"/>
    <w:rsid w:val="003E5890"/>
    <w:rsid w:val="003E5984"/>
    <w:rsid w:val="00405807"/>
    <w:rsid w:val="004072EC"/>
    <w:rsid w:val="00407403"/>
    <w:rsid w:val="00437AC0"/>
    <w:rsid w:val="004510EB"/>
    <w:rsid w:val="0047306E"/>
    <w:rsid w:val="00473DA2"/>
    <w:rsid w:val="004909B4"/>
    <w:rsid w:val="004A1A2D"/>
    <w:rsid w:val="004B6DB7"/>
    <w:rsid w:val="004D6F02"/>
    <w:rsid w:val="004F0A97"/>
    <w:rsid w:val="004F5A0C"/>
    <w:rsid w:val="0050556F"/>
    <w:rsid w:val="00507C22"/>
    <w:rsid w:val="00515346"/>
    <w:rsid w:val="00520488"/>
    <w:rsid w:val="00536A92"/>
    <w:rsid w:val="00540B8E"/>
    <w:rsid w:val="005449EC"/>
    <w:rsid w:val="00546014"/>
    <w:rsid w:val="00575B9A"/>
    <w:rsid w:val="00580F4E"/>
    <w:rsid w:val="005963DE"/>
    <w:rsid w:val="005A38EB"/>
    <w:rsid w:val="005A50EB"/>
    <w:rsid w:val="005B1948"/>
    <w:rsid w:val="005B3984"/>
    <w:rsid w:val="005D0CAB"/>
    <w:rsid w:val="005D0F31"/>
    <w:rsid w:val="005D5113"/>
    <w:rsid w:val="005E4722"/>
    <w:rsid w:val="005E7214"/>
    <w:rsid w:val="005E79D1"/>
    <w:rsid w:val="005F367B"/>
    <w:rsid w:val="0060557B"/>
    <w:rsid w:val="00612B01"/>
    <w:rsid w:val="00620AFF"/>
    <w:rsid w:val="0062106F"/>
    <w:rsid w:val="006215FC"/>
    <w:rsid w:val="00623827"/>
    <w:rsid w:val="00631151"/>
    <w:rsid w:val="006331DC"/>
    <w:rsid w:val="006620B6"/>
    <w:rsid w:val="006657BA"/>
    <w:rsid w:val="006768B8"/>
    <w:rsid w:val="00693AD1"/>
    <w:rsid w:val="00696502"/>
    <w:rsid w:val="00697E54"/>
    <w:rsid w:val="006A35C2"/>
    <w:rsid w:val="006A3859"/>
    <w:rsid w:val="006A5D9C"/>
    <w:rsid w:val="006B7C58"/>
    <w:rsid w:val="006C4C9C"/>
    <w:rsid w:val="006E1DF2"/>
    <w:rsid w:val="006F4E25"/>
    <w:rsid w:val="0070291C"/>
    <w:rsid w:val="007043FE"/>
    <w:rsid w:val="00712358"/>
    <w:rsid w:val="00715748"/>
    <w:rsid w:val="007273D6"/>
    <w:rsid w:val="00735B57"/>
    <w:rsid w:val="00741E5C"/>
    <w:rsid w:val="00743155"/>
    <w:rsid w:val="0075261E"/>
    <w:rsid w:val="00764BB2"/>
    <w:rsid w:val="0076598A"/>
    <w:rsid w:val="007714A4"/>
    <w:rsid w:val="00772125"/>
    <w:rsid w:val="00792D72"/>
    <w:rsid w:val="007A0687"/>
    <w:rsid w:val="007A4DA0"/>
    <w:rsid w:val="007B6FBE"/>
    <w:rsid w:val="007B773D"/>
    <w:rsid w:val="007D06A0"/>
    <w:rsid w:val="007D54A9"/>
    <w:rsid w:val="007E5275"/>
    <w:rsid w:val="007F3119"/>
    <w:rsid w:val="00814032"/>
    <w:rsid w:val="00814509"/>
    <w:rsid w:val="008179E6"/>
    <w:rsid w:val="00821C30"/>
    <w:rsid w:val="00837488"/>
    <w:rsid w:val="008428CC"/>
    <w:rsid w:val="008430A8"/>
    <w:rsid w:val="00846D41"/>
    <w:rsid w:val="0085003D"/>
    <w:rsid w:val="00863D37"/>
    <w:rsid w:val="00872126"/>
    <w:rsid w:val="008728FE"/>
    <w:rsid w:val="00875DAC"/>
    <w:rsid w:val="008A0594"/>
    <w:rsid w:val="008A7450"/>
    <w:rsid w:val="008B1FEB"/>
    <w:rsid w:val="008B374D"/>
    <w:rsid w:val="008C205F"/>
    <w:rsid w:val="008D07C0"/>
    <w:rsid w:val="008D50D0"/>
    <w:rsid w:val="008E2701"/>
    <w:rsid w:val="008F0199"/>
    <w:rsid w:val="008F49F3"/>
    <w:rsid w:val="008F4ACD"/>
    <w:rsid w:val="00904E4F"/>
    <w:rsid w:val="009057F6"/>
    <w:rsid w:val="00905E88"/>
    <w:rsid w:val="009117F2"/>
    <w:rsid w:val="0091364E"/>
    <w:rsid w:val="0091622A"/>
    <w:rsid w:val="00963AC4"/>
    <w:rsid w:val="00970A6D"/>
    <w:rsid w:val="00972045"/>
    <w:rsid w:val="009724C2"/>
    <w:rsid w:val="00976659"/>
    <w:rsid w:val="00976F4D"/>
    <w:rsid w:val="00980408"/>
    <w:rsid w:val="00981C3B"/>
    <w:rsid w:val="0098272A"/>
    <w:rsid w:val="009835D9"/>
    <w:rsid w:val="009970B3"/>
    <w:rsid w:val="00997D23"/>
    <w:rsid w:val="009C0459"/>
    <w:rsid w:val="009C1CEF"/>
    <w:rsid w:val="009D01CD"/>
    <w:rsid w:val="009D3E56"/>
    <w:rsid w:val="009E0871"/>
    <w:rsid w:val="009E2039"/>
    <w:rsid w:val="009F126B"/>
    <w:rsid w:val="009F4EEC"/>
    <w:rsid w:val="009F5168"/>
    <w:rsid w:val="00A0605E"/>
    <w:rsid w:val="00A20B6D"/>
    <w:rsid w:val="00A248FA"/>
    <w:rsid w:val="00A24C07"/>
    <w:rsid w:val="00A25B1C"/>
    <w:rsid w:val="00A3231B"/>
    <w:rsid w:val="00A33DFA"/>
    <w:rsid w:val="00A52C02"/>
    <w:rsid w:val="00A567EE"/>
    <w:rsid w:val="00A63622"/>
    <w:rsid w:val="00A654EE"/>
    <w:rsid w:val="00A76A81"/>
    <w:rsid w:val="00A776C7"/>
    <w:rsid w:val="00A80AA3"/>
    <w:rsid w:val="00A814F6"/>
    <w:rsid w:val="00A8206E"/>
    <w:rsid w:val="00A86DB8"/>
    <w:rsid w:val="00A90B3F"/>
    <w:rsid w:val="00A90E1B"/>
    <w:rsid w:val="00AA0F4E"/>
    <w:rsid w:val="00AA11E2"/>
    <w:rsid w:val="00AA3C2A"/>
    <w:rsid w:val="00AA74C3"/>
    <w:rsid w:val="00AB06F7"/>
    <w:rsid w:val="00AB1029"/>
    <w:rsid w:val="00AC0036"/>
    <w:rsid w:val="00AF4B7D"/>
    <w:rsid w:val="00B30B8A"/>
    <w:rsid w:val="00B46B71"/>
    <w:rsid w:val="00B61E06"/>
    <w:rsid w:val="00B84017"/>
    <w:rsid w:val="00B86DC3"/>
    <w:rsid w:val="00B96F34"/>
    <w:rsid w:val="00BA106B"/>
    <w:rsid w:val="00BA1B0C"/>
    <w:rsid w:val="00BB4C06"/>
    <w:rsid w:val="00BC2223"/>
    <w:rsid w:val="00C05B27"/>
    <w:rsid w:val="00C14719"/>
    <w:rsid w:val="00C15C1F"/>
    <w:rsid w:val="00C30FF3"/>
    <w:rsid w:val="00C44341"/>
    <w:rsid w:val="00C6196D"/>
    <w:rsid w:val="00C677CC"/>
    <w:rsid w:val="00C70727"/>
    <w:rsid w:val="00C773D7"/>
    <w:rsid w:val="00C827E9"/>
    <w:rsid w:val="00C96D88"/>
    <w:rsid w:val="00CA3897"/>
    <w:rsid w:val="00CA3907"/>
    <w:rsid w:val="00CB436D"/>
    <w:rsid w:val="00CC1DC0"/>
    <w:rsid w:val="00CC62DC"/>
    <w:rsid w:val="00CD4A8A"/>
    <w:rsid w:val="00CE447A"/>
    <w:rsid w:val="00CE5220"/>
    <w:rsid w:val="00CE5C36"/>
    <w:rsid w:val="00D06DB1"/>
    <w:rsid w:val="00D10709"/>
    <w:rsid w:val="00D1132E"/>
    <w:rsid w:val="00D15A7C"/>
    <w:rsid w:val="00D17CDC"/>
    <w:rsid w:val="00D318E5"/>
    <w:rsid w:val="00D519A4"/>
    <w:rsid w:val="00D64D7D"/>
    <w:rsid w:val="00D65A0C"/>
    <w:rsid w:val="00D65A42"/>
    <w:rsid w:val="00D76B5D"/>
    <w:rsid w:val="00D82552"/>
    <w:rsid w:val="00D87DFB"/>
    <w:rsid w:val="00D9524E"/>
    <w:rsid w:val="00DB0A38"/>
    <w:rsid w:val="00DB3E53"/>
    <w:rsid w:val="00DB5D81"/>
    <w:rsid w:val="00DC255B"/>
    <w:rsid w:val="00DC46D4"/>
    <w:rsid w:val="00DD13BA"/>
    <w:rsid w:val="00DE3553"/>
    <w:rsid w:val="00DE7ACA"/>
    <w:rsid w:val="00DF1266"/>
    <w:rsid w:val="00E10860"/>
    <w:rsid w:val="00E12159"/>
    <w:rsid w:val="00E14787"/>
    <w:rsid w:val="00E153DE"/>
    <w:rsid w:val="00E169BD"/>
    <w:rsid w:val="00E2427D"/>
    <w:rsid w:val="00E363B8"/>
    <w:rsid w:val="00E37F59"/>
    <w:rsid w:val="00E41834"/>
    <w:rsid w:val="00E4229B"/>
    <w:rsid w:val="00E44A8D"/>
    <w:rsid w:val="00E542B2"/>
    <w:rsid w:val="00E55D8C"/>
    <w:rsid w:val="00E66CB5"/>
    <w:rsid w:val="00E73F1C"/>
    <w:rsid w:val="00E80959"/>
    <w:rsid w:val="00E90A37"/>
    <w:rsid w:val="00EA1E1C"/>
    <w:rsid w:val="00EA61DA"/>
    <w:rsid w:val="00EA6D79"/>
    <w:rsid w:val="00EC5BC3"/>
    <w:rsid w:val="00ED47D0"/>
    <w:rsid w:val="00F14966"/>
    <w:rsid w:val="00F45F11"/>
    <w:rsid w:val="00F52FB3"/>
    <w:rsid w:val="00F5799A"/>
    <w:rsid w:val="00F655DB"/>
    <w:rsid w:val="00F70DC2"/>
    <w:rsid w:val="00F7149B"/>
    <w:rsid w:val="00F7435F"/>
    <w:rsid w:val="00F805BE"/>
    <w:rsid w:val="00F836AA"/>
    <w:rsid w:val="00F91EC6"/>
    <w:rsid w:val="00F926D1"/>
    <w:rsid w:val="00F955F6"/>
    <w:rsid w:val="00FE046D"/>
    <w:rsid w:val="00FE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Chmielewska</dc:creator>
  <cp:lastModifiedBy>The Salvation Army</cp:lastModifiedBy>
  <cp:revision>4</cp:revision>
  <dcterms:created xsi:type="dcterms:W3CDTF">2018-12-05T18:30:00Z</dcterms:created>
  <dcterms:modified xsi:type="dcterms:W3CDTF">2018-12-05T18:37:00Z</dcterms:modified>
</cp:coreProperties>
</file>